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1" w:rsidRPr="00296B81" w:rsidRDefault="00296B81" w:rsidP="00296B81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  <w:r w:rsidRPr="00296B81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MERCOSUR</w:t>
      </w:r>
      <w:r w:rsidR="0032423F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/CMC/</w:t>
      </w:r>
      <w:r w:rsidRPr="00296B81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DEC</w:t>
      </w:r>
      <w:r w:rsidR="007F574E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.</w:t>
      </w:r>
      <w:r w:rsidRPr="00296B81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 xml:space="preserve"> Nº</w:t>
      </w:r>
      <w:r w:rsidR="0032423F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 xml:space="preserve"> 41/12</w:t>
      </w:r>
    </w:p>
    <w:p w:rsidR="00296B81" w:rsidRPr="00296B81" w:rsidRDefault="00296B81" w:rsidP="00296B81">
      <w:pPr>
        <w:pStyle w:val="Ttulo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</w:p>
    <w:p w:rsidR="00010D8F" w:rsidRDefault="00010D8F" w:rsidP="00296B81">
      <w:pPr>
        <w:pStyle w:val="Ttulo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</w:p>
    <w:p w:rsidR="00296B81" w:rsidRPr="00296B81" w:rsidRDefault="00296B81" w:rsidP="00010D8F">
      <w:pPr>
        <w:pStyle w:val="Ttulo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  <w:r w:rsidRPr="00296B81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PARTICIPACIÓN DE LA REPÚBLICA BOLIVARIANA DE VENEZUELA E</w:t>
      </w:r>
      <w:r w:rsidR="002C3080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>N</w:t>
      </w:r>
      <w:r w:rsidRPr="00296B81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 xml:space="preserve"> EL FONDO PARA LA CONVERG</w:t>
      </w:r>
      <w:r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 xml:space="preserve">ENCIA ESTRUCTURAL DEL MERCOSUR – </w:t>
      </w:r>
      <w:r w:rsidRPr="00296B81">
        <w:rPr>
          <w:rFonts w:ascii="Arial" w:hAnsi="Arial" w:cs="Arial"/>
          <w:b/>
          <w:bCs/>
          <w:color w:val="000000"/>
          <w:sz w:val="24"/>
          <w:szCs w:val="24"/>
          <w:lang w:val="es-UY"/>
        </w:rPr>
        <w:t xml:space="preserve"> FOCEM</w:t>
      </w:r>
    </w:p>
    <w:p w:rsidR="00296B81" w:rsidRPr="00296B81" w:rsidRDefault="00296B81" w:rsidP="00296B81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UY"/>
        </w:rPr>
      </w:pPr>
    </w:p>
    <w:p w:rsidR="00296B81" w:rsidRPr="003B6AE7" w:rsidRDefault="00296B81" w:rsidP="00296B81">
      <w:pPr>
        <w:ind w:firstLine="708"/>
        <w:jc w:val="both"/>
        <w:rPr>
          <w:rFonts w:ascii="Arial" w:hAnsi="Arial" w:cs="Arial"/>
          <w:b/>
          <w:bCs/>
          <w:color w:val="000000"/>
          <w:lang w:val="es-UY" w:eastAsia="es-ES"/>
        </w:rPr>
      </w:pPr>
      <w:r w:rsidRPr="003B6AE7">
        <w:rPr>
          <w:rFonts w:ascii="Arial" w:hAnsi="Arial" w:cs="Arial"/>
          <w:b/>
          <w:bCs/>
          <w:color w:val="000000"/>
          <w:lang w:val="es-UY" w:eastAsia="es-ES"/>
        </w:rPr>
        <w:t xml:space="preserve">VISTO: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Tratado de </w:t>
      </w:r>
      <w:r w:rsidR="009B07FD">
        <w:rPr>
          <w:rFonts w:ascii="Arial" w:hAnsi="Arial" w:cs="Arial"/>
          <w:bCs/>
          <w:color w:val="000000"/>
          <w:lang w:val="es-UY" w:eastAsia="es-ES"/>
        </w:rPr>
        <w:t>Asunción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, </w:t>
      </w:r>
      <w:r w:rsidR="00326093">
        <w:rPr>
          <w:rFonts w:ascii="Arial" w:hAnsi="Arial" w:cs="Arial"/>
          <w:bCs/>
          <w:color w:val="000000"/>
          <w:lang w:val="es-UY" w:eastAsia="es-ES"/>
        </w:rPr>
        <w:t>e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Protocolo de Ouro Preto,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Protocolo de </w:t>
      </w:r>
      <w:r w:rsidR="002C3080" w:rsidRPr="003B6AE7">
        <w:rPr>
          <w:rFonts w:ascii="Arial" w:hAnsi="Arial" w:cs="Arial"/>
          <w:bCs/>
          <w:color w:val="000000"/>
          <w:lang w:val="es-UY" w:eastAsia="es-ES"/>
        </w:rPr>
        <w:t>Adhesión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d</w:t>
      </w:r>
      <w:r w:rsidR="00326093">
        <w:rPr>
          <w:rFonts w:ascii="Arial" w:hAnsi="Arial" w:cs="Arial"/>
          <w:bCs/>
          <w:color w:val="000000"/>
          <w:lang w:val="es-UY" w:eastAsia="es-ES"/>
        </w:rPr>
        <w:t>e l</w:t>
      </w:r>
      <w:r w:rsidRPr="003B6AE7">
        <w:rPr>
          <w:rFonts w:ascii="Arial" w:hAnsi="Arial" w:cs="Arial"/>
          <w:bCs/>
          <w:color w:val="000000"/>
          <w:lang w:val="es-UY" w:eastAsia="es-ES"/>
        </w:rPr>
        <w:t>a República Bolivariana d</w:t>
      </w:r>
      <w:r w:rsidR="00326093">
        <w:rPr>
          <w:rFonts w:ascii="Arial" w:hAnsi="Arial" w:cs="Arial"/>
          <w:bCs/>
          <w:color w:val="000000"/>
          <w:lang w:val="es-UY" w:eastAsia="es-ES"/>
        </w:rPr>
        <w:t>e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Venezuela,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Protocolo de Ushuaia sobre Compromiso Democrático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en 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MERCOSU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R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, </w:t>
      </w:r>
      <w:r w:rsidR="0026760B">
        <w:rPr>
          <w:rFonts w:ascii="Arial" w:hAnsi="Arial" w:cs="Arial"/>
          <w:bCs/>
          <w:color w:val="000000"/>
          <w:lang w:val="es-UY" w:eastAsia="es-ES"/>
        </w:rPr>
        <w:t xml:space="preserve">la República de </w:t>
      </w:r>
      <w:r w:rsidR="002C3080">
        <w:rPr>
          <w:rFonts w:ascii="Arial" w:hAnsi="Arial" w:cs="Arial"/>
          <w:bCs/>
          <w:color w:val="000000"/>
          <w:lang w:val="es-UY" w:eastAsia="es-ES"/>
        </w:rPr>
        <w:t>Bolivia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26760B">
        <w:rPr>
          <w:rFonts w:ascii="Arial" w:hAnsi="Arial" w:cs="Arial"/>
          <w:bCs/>
          <w:color w:val="000000"/>
          <w:lang w:val="es-UY" w:eastAsia="es-ES"/>
        </w:rPr>
        <w:t>y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26760B">
        <w:rPr>
          <w:rFonts w:ascii="Arial" w:hAnsi="Arial" w:cs="Arial"/>
          <w:bCs/>
          <w:color w:val="000000"/>
          <w:lang w:val="es-UY" w:eastAsia="es-ES"/>
        </w:rPr>
        <w:t xml:space="preserve">la República de 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Chile,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as </w:t>
      </w:r>
      <w:r w:rsidR="009B07FD">
        <w:rPr>
          <w:rFonts w:ascii="Arial" w:hAnsi="Arial" w:cs="Arial"/>
          <w:bCs/>
          <w:color w:val="000000"/>
          <w:lang w:val="es-UY" w:eastAsia="es-ES"/>
        </w:rPr>
        <w:t>Decisiones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Nº 45/04, 18/05, 43/07, 04/08, 05/08, 44/08, 01/10, 24/10, 27/12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y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40/12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del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Consejo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del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Mercado </w:t>
      </w:r>
      <w:r w:rsidR="003B6AE7">
        <w:rPr>
          <w:rFonts w:ascii="Arial" w:hAnsi="Arial" w:cs="Arial"/>
          <w:bCs/>
          <w:color w:val="000000"/>
          <w:lang w:val="es-UY" w:eastAsia="es-ES"/>
        </w:rPr>
        <w:t>Común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, </w:t>
      </w:r>
      <w:r w:rsidR="003B6AE7">
        <w:rPr>
          <w:rFonts w:ascii="Arial" w:hAnsi="Arial" w:cs="Arial"/>
          <w:bCs/>
          <w:color w:val="000000"/>
          <w:lang w:val="es-UY" w:eastAsia="es-ES"/>
        </w:rPr>
        <w:t>y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3B6AE7">
        <w:rPr>
          <w:rFonts w:ascii="Arial" w:hAnsi="Arial" w:cs="Arial"/>
          <w:bCs/>
          <w:color w:val="000000"/>
          <w:lang w:val="es-UY" w:eastAsia="es-ES"/>
        </w:rPr>
        <w:t>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as </w:t>
      </w:r>
      <w:r w:rsidR="003B6AE7">
        <w:rPr>
          <w:rFonts w:ascii="Arial" w:hAnsi="Arial" w:cs="Arial"/>
          <w:bCs/>
          <w:color w:val="000000"/>
          <w:lang w:val="es-UY" w:eastAsia="es-ES"/>
        </w:rPr>
        <w:t>Resoluciones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04/07, 49/10 </w:t>
      </w:r>
      <w:r w:rsidR="0026760B">
        <w:rPr>
          <w:rFonts w:ascii="Arial" w:hAnsi="Arial" w:cs="Arial"/>
          <w:bCs/>
          <w:color w:val="000000"/>
          <w:lang w:val="es-UY" w:eastAsia="es-ES"/>
        </w:rPr>
        <w:t>y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18/12 </w:t>
      </w:r>
      <w:r w:rsidR="003B6AE7">
        <w:rPr>
          <w:rFonts w:ascii="Arial" w:hAnsi="Arial" w:cs="Arial"/>
          <w:bCs/>
          <w:color w:val="000000"/>
          <w:lang w:val="es-UY" w:eastAsia="es-ES"/>
        </w:rPr>
        <w:t>del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Grupo Mercado </w:t>
      </w:r>
      <w:r w:rsidR="003B6AE7" w:rsidRPr="003B6AE7">
        <w:rPr>
          <w:rFonts w:ascii="Arial" w:hAnsi="Arial" w:cs="Arial"/>
          <w:bCs/>
          <w:color w:val="000000"/>
          <w:lang w:val="es-UY" w:eastAsia="es-ES"/>
        </w:rPr>
        <w:t>Común</w:t>
      </w:r>
      <w:r w:rsidRPr="003B6AE7">
        <w:rPr>
          <w:rFonts w:ascii="Arial" w:hAnsi="Arial" w:cs="Arial"/>
          <w:bCs/>
          <w:color w:val="000000"/>
          <w:lang w:val="es-UY" w:eastAsia="es-ES"/>
        </w:rPr>
        <w:t>.</w:t>
      </w:r>
    </w:p>
    <w:p w:rsidR="00296B81" w:rsidRPr="003B6AE7" w:rsidRDefault="00296B81" w:rsidP="00296B81">
      <w:pPr>
        <w:jc w:val="both"/>
        <w:rPr>
          <w:lang w:val="es-UY"/>
        </w:rPr>
      </w:pPr>
    </w:p>
    <w:p w:rsidR="00296B81" w:rsidRPr="003B6AE7" w:rsidRDefault="00296B81" w:rsidP="00296B81">
      <w:pPr>
        <w:jc w:val="both"/>
        <w:rPr>
          <w:lang w:val="es-UY"/>
        </w:rPr>
      </w:pPr>
    </w:p>
    <w:p w:rsidR="00296B81" w:rsidRPr="00950114" w:rsidRDefault="00296B81" w:rsidP="00296B81">
      <w:pPr>
        <w:jc w:val="both"/>
        <w:rPr>
          <w:rFonts w:ascii="Arial" w:hAnsi="Arial" w:cs="Arial"/>
          <w:bCs/>
          <w:color w:val="000000"/>
          <w:lang w:val="es-MX" w:eastAsia="es-ES"/>
        </w:rPr>
      </w:pPr>
      <w:r w:rsidRPr="00950114">
        <w:rPr>
          <w:rFonts w:ascii="Arial" w:hAnsi="Arial" w:cs="Arial"/>
          <w:b/>
          <w:bCs/>
          <w:color w:val="000000"/>
          <w:lang w:val="es-MX" w:eastAsia="es-ES"/>
        </w:rPr>
        <w:t>CONSIDERANDO</w:t>
      </w:r>
      <w:r w:rsidRPr="00950114">
        <w:rPr>
          <w:rFonts w:ascii="Arial" w:hAnsi="Arial" w:cs="Arial"/>
          <w:bCs/>
          <w:color w:val="000000"/>
          <w:lang w:val="es-MX" w:eastAsia="es-ES"/>
        </w:rPr>
        <w:t xml:space="preserve">: </w:t>
      </w:r>
    </w:p>
    <w:p w:rsidR="00296B81" w:rsidRPr="00950114" w:rsidRDefault="00296B81" w:rsidP="00296B81">
      <w:pPr>
        <w:jc w:val="both"/>
        <w:rPr>
          <w:rFonts w:ascii="Arial" w:hAnsi="Arial" w:cs="Arial"/>
          <w:bCs/>
          <w:color w:val="000000"/>
          <w:lang w:val="es-MX" w:eastAsia="es-ES"/>
        </w:rPr>
      </w:pPr>
    </w:p>
    <w:p w:rsidR="00296B81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 w:rsidRPr="003B6AE7">
        <w:rPr>
          <w:rFonts w:ascii="Arial" w:hAnsi="Arial" w:cs="Arial"/>
          <w:bCs/>
          <w:color w:val="000000"/>
          <w:lang w:val="es-UY" w:eastAsia="es-ES"/>
        </w:rPr>
        <w:t xml:space="preserve">Que la promoción de la </w:t>
      </w:r>
      <w:r w:rsidR="00326093">
        <w:rPr>
          <w:rFonts w:ascii="Arial" w:hAnsi="Arial" w:cs="Arial"/>
          <w:bCs/>
          <w:color w:val="000000"/>
          <w:lang w:val="es-UY" w:eastAsia="es-ES"/>
        </w:rPr>
        <w:t>competitividad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en cada uno de los Estados Partes del MERCOSUR es</w:t>
      </w:r>
      <w:r w:rsidR="00682FC8">
        <w:rPr>
          <w:rFonts w:ascii="Arial" w:hAnsi="Arial" w:cs="Arial"/>
          <w:bCs/>
          <w:color w:val="000000"/>
          <w:lang w:val="es-UY" w:eastAsia="es-ES"/>
        </w:rPr>
        <w:t xml:space="preserve"> un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elemento fundamental en el proceso de convergencia para el Mercado Com</w:t>
      </w:r>
      <w:r w:rsidR="00B61F01">
        <w:rPr>
          <w:rFonts w:ascii="Arial" w:hAnsi="Arial" w:cs="Arial"/>
          <w:bCs/>
          <w:color w:val="000000"/>
          <w:lang w:val="es-UY" w:eastAsia="es-ES"/>
        </w:rPr>
        <w:t>ún</w:t>
      </w:r>
      <w:r>
        <w:rPr>
          <w:rFonts w:ascii="Arial" w:hAnsi="Arial" w:cs="Arial"/>
          <w:bCs/>
          <w:color w:val="000000"/>
          <w:lang w:val="es-UY" w:eastAsia="es-ES"/>
        </w:rPr>
        <w:t xml:space="preserve"> establecido por el Tratado de Asunción.</w:t>
      </w:r>
    </w:p>
    <w:p w:rsidR="003B6AE7" w:rsidRP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 w:rsidRPr="003B6AE7">
        <w:rPr>
          <w:rFonts w:ascii="Arial" w:hAnsi="Arial" w:cs="Arial"/>
          <w:bCs/>
          <w:color w:val="000000"/>
          <w:lang w:val="es-UY" w:eastAsia="es-ES"/>
        </w:rPr>
        <w:t>Que los beneficios resultantes de la integraci</w:t>
      </w:r>
      <w:r>
        <w:rPr>
          <w:rFonts w:ascii="Arial" w:hAnsi="Arial" w:cs="Arial"/>
          <w:bCs/>
          <w:color w:val="000000"/>
          <w:lang w:val="es-UY" w:eastAsia="es-ES"/>
        </w:rPr>
        <w:t>ón no podrán ser plenamente aprovechados por las economías menores mientras persistan marcadas condiciones de asimetría.</w:t>
      </w: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>
        <w:rPr>
          <w:rFonts w:ascii="Arial" w:hAnsi="Arial" w:cs="Arial"/>
          <w:bCs/>
          <w:color w:val="000000"/>
          <w:lang w:val="es-UY" w:eastAsia="es-ES"/>
        </w:rPr>
        <w:t xml:space="preserve">Que los </w:t>
      </w:r>
      <w:r w:rsidR="0082717D">
        <w:rPr>
          <w:rFonts w:ascii="Arial" w:hAnsi="Arial" w:cs="Arial"/>
          <w:bCs/>
          <w:color w:val="000000"/>
          <w:lang w:val="es-UY" w:eastAsia="es-ES"/>
        </w:rPr>
        <w:t>beneficios</w:t>
      </w:r>
      <w:r>
        <w:rPr>
          <w:rFonts w:ascii="Arial" w:hAnsi="Arial" w:cs="Arial"/>
          <w:bCs/>
          <w:color w:val="000000"/>
          <w:lang w:val="es-UY" w:eastAsia="es-ES"/>
        </w:rPr>
        <w:t xml:space="preserve"> resultantes de incrementos estructurales en cada Estado Parte repercuten favorablemente en la región.</w:t>
      </w: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>
        <w:rPr>
          <w:rFonts w:ascii="Arial" w:hAnsi="Arial" w:cs="Arial"/>
          <w:bCs/>
          <w:color w:val="000000"/>
          <w:lang w:val="es-UY" w:eastAsia="es-ES"/>
        </w:rPr>
        <w:t xml:space="preserve">Que los Estados Partes, por las Decisiones 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CMC Nº 45/04 </w:t>
      </w:r>
      <w:r>
        <w:rPr>
          <w:rFonts w:ascii="Arial" w:hAnsi="Arial" w:cs="Arial"/>
          <w:bCs/>
          <w:color w:val="000000"/>
          <w:lang w:val="es-UY" w:eastAsia="es-ES"/>
        </w:rPr>
        <w:t>y</w:t>
      </w:r>
      <w:r w:rsidRPr="003B6AE7">
        <w:rPr>
          <w:rFonts w:ascii="Arial" w:hAnsi="Arial" w:cs="Arial"/>
          <w:bCs/>
          <w:color w:val="000000"/>
          <w:lang w:val="es-UY" w:eastAsia="es-ES"/>
        </w:rPr>
        <w:t xml:space="preserve"> 18/05</w:t>
      </w:r>
      <w:r>
        <w:rPr>
          <w:rFonts w:ascii="Arial" w:hAnsi="Arial" w:cs="Arial"/>
          <w:bCs/>
          <w:color w:val="000000"/>
          <w:lang w:val="es-UY" w:eastAsia="es-ES"/>
        </w:rPr>
        <w:t>, establec</w:t>
      </w:r>
      <w:r w:rsidR="00B61F01">
        <w:rPr>
          <w:rFonts w:ascii="Arial" w:hAnsi="Arial" w:cs="Arial"/>
          <w:bCs/>
          <w:color w:val="000000"/>
          <w:lang w:val="es-UY" w:eastAsia="es-ES"/>
        </w:rPr>
        <w:t>ieron</w:t>
      </w:r>
      <w:r>
        <w:rPr>
          <w:rFonts w:ascii="Arial" w:hAnsi="Arial" w:cs="Arial"/>
          <w:bCs/>
          <w:color w:val="000000"/>
          <w:lang w:val="es-UY" w:eastAsia="es-ES"/>
        </w:rPr>
        <w:t xml:space="preserve"> el Fondo para la Convergencia </w:t>
      </w:r>
      <w:r w:rsidR="00CF434F">
        <w:rPr>
          <w:rFonts w:ascii="Arial" w:hAnsi="Arial" w:cs="Arial"/>
          <w:bCs/>
          <w:color w:val="000000"/>
          <w:lang w:val="es-UY" w:eastAsia="es-ES"/>
        </w:rPr>
        <w:t xml:space="preserve">Estructural </w:t>
      </w:r>
      <w:r>
        <w:rPr>
          <w:rFonts w:ascii="Arial" w:hAnsi="Arial" w:cs="Arial"/>
          <w:bCs/>
          <w:color w:val="000000"/>
          <w:lang w:val="es-UY" w:eastAsia="es-ES"/>
        </w:rPr>
        <w:t>del MERCOSUR (FOCEM), a fin de promover la convergencia estructural, desarrollar la competitividad, favorecer la cohesión social, en particular de las economías menores, y fortalecer la estructur</w:t>
      </w:r>
      <w:r w:rsidR="0011750E">
        <w:rPr>
          <w:rFonts w:ascii="Arial" w:hAnsi="Arial" w:cs="Arial"/>
          <w:bCs/>
          <w:color w:val="000000"/>
          <w:lang w:val="es-UY" w:eastAsia="es-ES"/>
        </w:rPr>
        <w:t xml:space="preserve">a institucional del </w:t>
      </w:r>
      <w:r>
        <w:rPr>
          <w:rFonts w:ascii="Arial" w:hAnsi="Arial" w:cs="Arial"/>
          <w:bCs/>
          <w:color w:val="000000"/>
          <w:lang w:val="es-UY" w:eastAsia="es-ES"/>
        </w:rPr>
        <w:t>MERCOSUR.</w:t>
      </w: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>
        <w:rPr>
          <w:rFonts w:ascii="Arial" w:hAnsi="Arial" w:cs="Arial"/>
          <w:bCs/>
          <w:color w:val="000000"/>
          <w:lang w:val="es-UY" w:eastAsia="es-ES"/>
        </w:rPr>
        <w:t xml:space="preserve">Que el FOCEM se ha consolidado como el más importante instrumento de mitigación de las asimetrías entre los Estados Partes del MERCOSUR y como </w:t>
      </w:r>
      <w:r w:rsidR="00682FC8">
        <w:rPr>
          <w:rFonts w:ascii="Arial" w:hAnsi="Arial" w:cs="Arial"/>
          <w:bCs/>
          <w:color w:val="000000"/>
          <w:lang w:val="es-UY" w:eastAsia="es-ES"/>
        </w:rPr>
        <w:t>relevante fuente de financiamiento</w:t>
      </w:r>
      <w:r>
        <w:rPr>
          <w:rFonts w:ascii="Arial" w:hAnsi="Arial" w:cs="Arial"/>
          <w:bCs/>
          <w:color w:val="000000"/>
          <w:lang w:val="es-UY" w:eastAsia="es-ES"/>
        </w:rPr>
        <w:t xml:space="preserve"> para proyectos de impacto en la región.</w:t>
      </w: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>
        <w:rPr>
          <w:rFonts w:ascii="Arial" w:hAnsi="Arial" w:cs="Arial"/>
          <w:bCs/>
          <w:color w:val="000000"/>
          <w:lang w:val="es-UY" w:eastAsia="es-ES"/>
        </w:rPr>
        <w:t xml:space="preserve">Que de la adhesión de la República Bolivariana de Venezuela al MERCOSUR debe </w:t>
      </w:r>
      <w:r w:rsidR="00B61F01">
        <w:rPr>
          <w:rFonts w:ascii="Arial" w:hAnsi="Arial" w:cs="Arial"/>
          <w:bCs/>
          <w:color w:val="000000"/>
          <w:lang w:val="es-UY" w:eastAsia="es-ES"/>
        </w:rPr>
        <w:t>derivarse</w:t>
      </w:r>
      <w:r>
        <w:rPr>
          <w:rFonts w:ascii="Arial" w:hAnsi="Arial" w:cs="Arial"/>
          <w:bCs/>
          <w:color w:val="000000"/>
          <w:lang w:val="es-UY" w:eastAsia="es-ES"/>
        </w:rPr>
        <w:t xml:space="preserve"> su plena participación en los instrumentos orientados a la promoción de la integración regional.</w:t>
      </w:r>
    </w:p>
    <w:p w:rsidR="0011750E" w:rsidRDefault="0011750E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>
        <w:rPr>
          <w:rFonts w:ascii="Arial" w:hAnsi="Arial" w:cs="Arial"/>
          <w:bCs/>
          <w:color w:val="000000"/>
          <w:lang w:val="es-UY" w:eastAsia="es-ES"/>
        </w:rPr>
        <w:t xml:space="preserve">Que la </w:t>
      </w:r>
      <w:r w:rsidR="00B61F01">
        <w:rPr>
          <w:rFonts w:ascii="Arial" w:hAnsi="Arial" w:cs="Arial"/>
          <w:bCs/>
          <w:color w:val="000000"/>
          <w:lang w:val="es-UY" w:eastAsia="es-ES"/>
        </w:rPr>
        <w:t>relación</w:t>
      </w:r>
      <w:r>
        <w:rPr>
          <w:rFonts w:ascii="Arial" w:hAnsi="Arial" w:cs="Arial"/>
          <w:bCs/>
          <w:color w:val="000000"/>
          <w:lang w:val="es-UY" w:eastAsia="es-ES"/>
        </w:rPr>
        <w:t xml:space="preserve"> entre las contribuciones al FOCEM y la </w:t>
      </w:r>
      <w:r w:rsidR="002D5BAC">
        <w:rPr>
          <w:rFonts w:ascii="Arial" w:hAnsi="Arial" w:cs="Arial"/>
          <w:bCs/>
          <w:color w:val="000000"/>
          <w:lang w:val="es-UY" w:eastAsia="es-ES"/>
        </w:rPr>
        <w:t xml:space="preserve">asignación de los recursos del Fondo </w:t>
      </w:r>
      <w:proofErr w:type="gramStart"/>
      <w:r w:rsidR="002D5BAC">
        <w:rPr>
          <w:rFonts w:ascii="Arial" w:hAnsi="Arial" w:cs="Arial"/>
          <w:bCs/>
          <w:color w:val="000000"/>
          <w:lang w:val="es-UY" w:eastAsia="es-ES"/>
        </w:rPr>
        <w:t>debe</w:t>
      </w:r>
      <w:proofErr w:type="gramEnd"/>
      <w:r w:rsidR="002D5BAC">
        <w:rPr>
          <w:rFonts w:ascii="Arial" w:hAnsi="Arial" w:cs="Arial"/>
          <w:bCs/>
          <w:color w:val="000000"/>
          <w:lang w:val="es-UY" w:eastAsia="es-ES"/>
        </w:rPr>
        <w:t xml:space="preserve"> tener en cuenta las asimetrías entre los Estados Partes, de modo que las economías menores sean las principales beneficiarias del Fondo.</w:t>
      </w:r>
      <w:r>
        <w:rPr>
          <w:rFonts w:ascii="Arial" w:hAnsi="Arial" w:cs="Arial"/>
          <w:bCs/>
          <w:color w:val="000000"/>
          <w:lang w:val="es-UY" w:eastAsia="es-ES"/>
        </w:rPr>
        <w:t xml:space="preserve">  </w:t>
      </w:r>
    </w:p>
    <w:p w:rsidR="003B6AE7" w:rsidRDefault="003B6AE7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D5BAC" w:rsidRPr="003B6AE7" w:rsidRDefault="002D5BAC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Pr="003B6AE7" w:rsidRDefault="003B6AE7" w:rsidP="00296B81">
      <w:pPr>
        <w:pStyle w:val="Ttulo1"/>
        <w:rPr>
          <w:rFonts w:ascii="Arial" w:hAnsi="Arial" w:cs="Arial"/>
          <w:color w:val="000000"/>
          <w:lang w:val="es-UY"/>
        </w:rPr>
      </w:pPr>
      <w:r w:rsidRPr="003B6AE7">
        <w:rPr>
          <w:rFonts w:ascii="Arial" w:hAnsi="Arial" w:cs="Arial"/>
          <w:color w:val="000000"/>
          <w:lang w:val="es-UY"/>
        </w:rPr>
        <w:lastRenderedPageBreak/>
        <w:t>EL CONSEJO DEL MERCADO COMÚN</w:t>
      </w:r>
    </w:p>
    <w:p w:rsidR="00296B81" w:rsidRPr="00950114" w:rsidRDefault="00296B81" w:rsidP="00296B81">
      <w:pPr>
        <w:pStyle w:val="Ttulo1"/>
        <w:rPr>
          <w:rFonts w:ascii="Arial" w:hAnsi="Arial" w:cs="Arial"/>
          <w:color w:val="000000"/>
          <w:lang w:val="es-MX"/>
        </w:rPr>
      </w:pPr>
      <w:r w:rsidRPr="00950114">
        <w:rPr>
          <w:rFonts w:ascii="Arial" w:hAnsi="Arial" w:cs="Arial"/>
          <w:color w:val="000000"/>
          <w:lang w:val="es-MX"/>
        </w:rPr>
        <w:t xml:space="preserve">DECIDE: </w:t>
      </w:r>
    </w:p>
    <w:p w:rsidR="00296B81" w:rsidRPr="00950114" w:rsidRDefault="00296B81" w:rsidP="00296B81">
      <w:pPr>
        <w:jc w:val="both"/>
        <w:rPr>
          <w:lang w:val="es-MX"/>
        </w:rPr>
      </w:pPr>
    </w:p>
    <w:p w:rsidR="00296B81" w:rsidRPr="00950114" w:rsidRDefault="00296B81" w:rsidP="00296B81">
      <w:pPr>
        <w:jc w:val="both"/>
        <w:rPr>
          <w:lang w:val="es-MX"/>
        </w:rPr>
      </w:pPr>
    </w:p>
    <w:p w:rsidR="00296B81" w:rsidRPr="002D5BA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  <w:r w:rsidRPr="002D5BAC">
        <w:rPr>
          <w:rFonts w:ascii="Arial" w:hAnsi="Arial" w:cs="Arial"/>
          <w:color w:val="000000"/>
          <w:lang w:val="es-UY"/>
        </w:rPr>
        <w:t>Art. 1° -</w:t>
      </w:r>
      <w:r w:rsidRPr="002D5BAC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2D5BAC" w:rsidRPr="002D5BAC">
        <w:rPr>
          <w:rFonts w:ascii="Arial" w:hAnsi="Arial" w:cs="Arial"/>
          <w:bCs/>
          <w:color w:val="000000"/>
          <w:lang w:val="es-UY" w:eastAsia="es-ES"/>
        </w:rPr>
        <w:t>La participación de la Re</w:t>
      </w:r>
      <w:r w:rsidR="002D5BAC">
        <w:rPr>
          <w:rFonts w:ascii="Arial" w:hAnsi="Arial" w:cs="Arial"/>
          <w:bCs/>
          <w:color w:val="000000"/>
          <w:lang w:val="es-UY" w:eastAsia="es-ES"/>
        </w:rPr>
        <w:t xml:space="preserve">pública Bolivariana de Venezuela en el FOCEM se dará por medio de contribuciones anuales de US$ </w:t>
      </w:r>
      <w:r w:rsidR="003F7AB3" w:rsidRPr="003F7AB3">
        <w:rPr>
          <w:rFonts w:ascii="Arial" w:hAnsi="Arial" w:cs="Arial"/>
          <w:color w:val="000000"/>
          <w:lang w:val="es-ES"/>
        </w:rPr>
        <w:t xml:space="preserve">15,5 </w:t>
      </w:r>
      <w:r w:rsidR="00031814">
        <w:rPr>
          <w:rFonts w:ascii="Arial" w:hAnsi="Arial" w:cs="Arial"/>
          <w:bCs/>
          <w:color w:val="000000"/>
          <w:lang w:val="es-UY" w:eastAsia="es-ES"/>
        </w:rPr>
        <w:t xml:space="preserve"> (</w:t>
      </w:r>
      <w:r w:rsidR="003F7AB3">
        <w:rPr>
          <w:rFonts w:ascii="Arial" w:hAnsi="Arial" w:cs="Arial"/>
          <w:bCs/>
          <w:color w:val="000000"/>
          <w:lang w:val="es-UY" w:eastAsia="es-ES"/>
        </w:rPr>
        <w:t>quince</w:t>
      </w:r>
      <w:r w:rsidR="002D5BAC">
        <w:rPr>
          <w:rFonts w:ascii="Arial" w:hAnsi="Arial" w:cs="Arial"/>
          <w:bCs/>
          <w:color w:val="000000"/>
          <w:lang w:val="es-UY" w:eastAsia="es-ES"/>
        </w:rPr>
        <w:t xml:space="preserve"> millones </w:t>
      </w:r>
      <w:r w:rsidR="003F7AB3">
        <w:rPr>
          <w:rFonts w:ascii="Arial" w:hAnsi="Arial" w:cs="Arial"/>
          <w:bCs/>
          <w:color w:val="000000"/>
          <w:lang w:val="es-UY" w:eastAsia="es-ES"/>
        </w:rPr>
        <w:t xml:space="preserve">quinientos mil </w:t>
      </w:r>
      <w:r w:rsidR="002D5BAC">
        <w:rPr>
          <w:rFonts w:ascii="Arial" w:hAnsi="Arial" w:cs="Arial"/>
          <w:bCs/>
          <w:color w:val="000000"/>
          <w:lang w:val="es-UY" w:eastAsia="es-ES"/>
        </w:rPr>
        <w:t>dólares estad</w:t>
      </w:r>
      <w:r w:rsidR="00682FC8">
        <w:rPr>
          <w:rFonts w:ascii="Arial" w:hAnsi="Arial" w:cs="Arial"/>
          <w:bCs/>
          <w:color w:val="000000"/>
          <w:lang w:val="es-UY" w:eastAsia="es-ES"/>
        </w:rPr>
        <w:t>o</w:t>
      </w:r>
      <w:bookmarkStart w:id="0" w:name="_GoBack"/>
      <w:bookmarkEnd w:id="0"/>
      <w:r w:rsidR="002D5BAC">
        <w:rPr>
          <w:rFonts w:ascii="Arial" w:hAnsi="Arial" w:cs="Arial"/>
          <w:bCs/>
          <w:color w:val="000000"/>
          <w:lang w:val="es-UY" w:eastAsia="es-ES"/>
        </w:rPr>
        <w:t xml:space="preserve">unidenses) realizados en los términos del artículo 3 del Anexo de la Decisión CMC Nº </w:t>
      </w:r>
      <w:r w:rsidR="002D5BAC" w:rsidRPr="002D5BAC">
        <w:rPr>
          <w:rFonts w:ascii="Arial" w:hAnsi="Arial" w:cs="Arial"/>
          <w:color w:val="000000"/>
          <w:lang w:val="es-UY"/>
        </w:rPr>
        <w:t>01/10</w:t>
      </w:r>
      <w:r w:rsidR="002D5BAC">
        <w:rPr>
          <w:rFonts w:ascii="Arial" w:hAnsi="Arial" w:cs="Arial"/>
          <w:color w:val="000000"/>
          <w:lang w:val="es-UY"/>
        </w:rPr>
        <w:t>, a ser administra</w:t>
      </w:r>
      <w:r w:rsidR="005C3471">
        <w:rPr>
          <w:rFonts w:ascii="Arial" w:hAnsi="Arial" w:cs="Arial"/>
          <w:color w:val="000000"/>
          <w:lang w:val="es-UY"/>
        </w:rPr>
        <w:t>d</w:t>
      </w:r>
      <w:r w:rsidR="002D5BAC">
        <w:rPr>
          <w:rFonts w:ascii="Arial" w:hAnsi="Arial" w:cs="Arial"/>
          <w:color w:val="000000"/>
          <w:lang w:val="es-UY"/>
        </w:rPr>
        <w:t>os por la Unidad Técnica FOCEM, de acuerdo con la normativa aplicable.</w:t>
      </w:r>
    </w:p>
    <w:p w:rsidR="00296B81" w:rsidRPr="002D5BA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</w:p>
    <w:p w:rsidR="00296B81" w:rsidRPr="002D5BAC" w:rsidRDefault="002D5BAC" w:rsidP="00296B81">
      <w:pPr>
        <w:jc w:val="both"/>
        <w:rPr>
          <w:rFonts w:ascii="Arial" w:hAnsi="Arial" w:cs="Arial"/>
          <w:color w:val="000000"/>
          <w:lang w:val="es-UY"/>
        </w:rPr>
      </w:pPr>
      <w:r w:rsidRPr="002D5BAC">
        <w:rPr>
          <w:rFonts w:ascii="Arial" w:hAnsi="Arial" w:cs="Arial"/>
          <w:color w:val="000000"/>
          <w:lang w:val="es-UY"/>
        </w:rPr>
        <w:t xml:space="preserve">La República Bolivariana de Venezuela efectuará sus aportes anuales al FOCEM en las fechas previstas </w:t>
      </w:r>
      <w:r w:rsidR="009B07FD" w:rsidRPr="002D5BAC">
        <w:rPr>
          <w:rFonts w:ascii="Arial" w:hAnsi="Arial" w:cs="Arial"/>
          <w:color w:val="000000"/>
          <w:lang w:val="es-UY"/>
        </w:rPr>
        <w:t>en</w:t>
      </w:r>
      <w:r w:rsidRPr="002D5BAC">
        <w:rPr>
          <w:rFonts w:ascii="Arial" w:hAnsi="Arial" w:cs="Arial"/>
          <w:color w:val="000000"/>
          <w:lang w:val="es-UY"/>
        </w:rPr>
        <w:t xml:space="preserve"> el </w:t>
      </w:r>
      <w:r w:rsidR="00CE6577">
        <w:rPr>
          <w:rFonts w:ascii="Arial" w:hAnsi="Arial" w:cs="Arial"/>
          <w:color w:val="000000"/>
          <w:lang w:val="es-UY"/>
        </w:rPr>
        <w:t>artículo</w:t>
      </w:r>
      <w:r w:rsidRPr="002D5BAC">
        <w:rPr>
          <w:rFonts w:ascii="Arial" w:hAnsi="Arial" w:cs="Arial"/>
          <w:color w:val="000000"/>
          <w:lang w:val="es-UY"/>
        </w:rPr>
        <w:t xml:space="preserve"> 4º del Anexo de la Decisi</w:t>
      </w:r>
      <w:r>
        <w:rPr>
          <w:rFonts w:ascii="Arial" w:hAnsi="Arial" w:cs="Arial"/>
          <w:color w:val="000000"/>
          <w:lang w:val="es-UY"/>
        </w:rPr>
        <w:t>ón</w:t>
      </w:r>
      <w:r w:rsidR="00296B81" w:rsidRPr="002D5BAC">
        <w:rPr>
          <w:rFonts w:ascii="Arial" w:hAnsi="Arial" w:cs="Arial"/>
          <w:color w:val="000000"/>
          <w:lang w:val="es-UY"/>
        </w:rPr>
        <w:t xml:space="preserve"> CMC Nº 01/10.</w:t>
      </w:r>
    </w:p>
    <w:p w:rsidR="00296B81" w:rsidRPr="002D5BAC" w:rsidRDefault="00296B81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Pr="002D5BA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  <w:r w:rsidRPr="002D5BAC">
        <w:rPr>
          <w:rFonts w:ascii="Arial" w:hAnsi="Arial" w:cs="Arial"/>
          <w:bCs/>
          <w:color w:val="000000"/>
          <w:lang w:val="es-UY" w:eastAsia="es-ES"/>
        </w:rPr>
        <w:t xml:space="preserve">Art. 2° - </w:t>
      </w:r>
      <w:r w:rsidR="002D5BAC" w:rsidRPr="002D5BAC">
        <w:rPr>
          <w:rFonts w:ascii="Arial" w:hAnsi="Arial" w:cs="Arial"/>
          <w:color w:val="000000"/>
          <w:lang w:val="es-UY"/>
        </w:rPr>
        <w:t>Los aportes anuales a que hace referencia el artículo 1º de la presente Decisi</w:t>
      </w:r>
      <w:r w:rsidR="002D5BAC">
        <w:rPr>
          <w:rFonts w:ascii="Arial" w:hAnsi="Arial" w:cs="Arial"/>
          <w:color w:val="000000"/>
          <w:lang w:val="es-UY"/>
        </w:rPr>
        <w:t xml:space="preserve">ón serán destinados a la financiación de los proyectos presentados por los demás Estados Partes en el marco de los Programas I, II </w:t>
      </w:r>
      <w:r w:rsidR="005C3471">
        <w:rPr>
          <w:rFonts w:ascii="Arial" w:hAnsi="Arial" w:cs="Arial"/>
          <w:color w:val="000000"/>
          <w:lang w:val="es-UY"/>
        </w:rPr>
        <w:t>y</w:t>
      </w:r>
      <w:r w:rsidR="002D5BAC">
        <w:rPr>
          <w:rFonts w:ascii="Arial" w:hAnsi="Arial" w:cs="Arial"/>
          <w:color w:val="000000"/>
          <w:lang w:val="es-UY"/>
        </w:rPr>
        <w:t xml:space="preserve"> III, así como de los proyectos </w:t>
      </w:r>
      <w:proofErr w:type="spellStart"/>
      <w:r w:rsidR="002D5BAC">
        <w:rPr>
          <w:rFonts w:ascii="Arial" w:hAnsi="Arial" w:cs="Arial"/>
          <w:color w:val="000000"/>
          <w:lang w:val="es-UY"/>
        </w:rPr>
        <w:t>pluriestatales</w:t>
      </w:r>
      <w:proofErr w:type="spellEnd"/>
      <w:r w:rsidR="002D5BAC">
        <w:rPr>
          <w:rFonts w:ascii="Arial" w:hAnsi="Arial" w:cs="Arial"/>
          <w:color w:val="000000"/>
          <w:lang w:val="es-UY"/>
        </w:rPr>
        <w:t xml:space="preserve"> en que es</w:t>
      </w:r>
      <w:r w:rsidR="005C3471">
        <w:rPr>
          <w:rFonts w:ascii="Arial" w:hAnsi="Arial" w:cs="Arial"/>
          <w:color w:val="000000"/>
          <w:lang w:val="es-UY"/>
        </w:rPr>
        <w:t>o</w:t>
      </w:r>
      <w:r w:rsidR="002D5BAC">
        <w:rPr>
          <w:rFonts w:ascii="Arial" w:hAnsi="Arial" w:cs="Arial"/>
          <w:color w:val="000000"/>
          <w:lang w:val="es-UY"/>
        </w:rPr>
        <w:t>s Estados Partes participen</w:t>
      </w:r>
      <w:r w:rsidRPr="002D5BAC">
        <w:rPr>
          <w:rFonts w:ascii="Arial" w:hAnsi="Arial" w:cs="Arial"/>
          <w:color w:val="000000"/>
          <w:lang w:val="es-UY"/>
        </w:rPr>
        <w:t>.</w:t>
      </w:r>
    </w:p>
    <w:p w:rsidR="00296B81" w:rsidRPr="002D5BA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</w:p>
    <w:p w:rsidR="00296B81" w:rsidRPr="002D5BAC" w:rsidRDefault="002D5BAC" w:rsidP="00296B81">
      <w:pPr>
        <w:jc w:val="both"/>
        <w:rPr>
          <w:rFonts w:ascii="Arial" w:hAnsi="Arial" w:cs="Arial"/>
          <w:color w:val="000000"/>
          <w:lang w:val="es-UY"/>
        </w:rPr>
      </w:pPr>
      <w:r w:rsidRPr="002D5BAC">
        <w:rPr>
          <w:rFonts w:ascii="Arial" w:hAnsi="Arial" w:cs="Arial"/>
          <w:color w:val="000000"/>
          <w:lang w:val="es-UY"/>
        </w:rPr>
        <w:t xml:space="preserve">Los recursos destinados a financiar esos proyectos serán </w:t>
      </w:r>
      <w:r w:rsidR="0082717D" w:rsidRPr="002D5BAC">
        <w:rPr>
          <w:rFonts w:ascii="Arial" w:hAnsi="Arial" w:cs="Arial"/>
          <w:color w:val="000000"/>
          <w:lang w:val="es-UY"/>
        </w:rPr>
        <w:t>distribu</w:t>
      </w:r>
      <w:r w:rsidR="0082717D">
        <w:rPr>
          <w:rFonts w:ascii="Arial" w:hAnsi="Arial" w:cs="Arial"/>
          <w:color w:val="000000"/>
          <w:lang w:val="es-UY"/>
        </w:rPr>
        <w:t>idos</w:t>
      </w:r>
      <w:r>
        <w:rPr>
          <w:rFonts w:ascii="Arial" w:hAnsi="Arial" w:cs="Arial"/>
          <w:color w:val="000000"/>
          <w:lang w:val="es-UY"/>
        </w:rPr>
        <w:t xml:space="preserve"> conforme</w:t>
      </w:r>
      <w:r w:rsidR="00CE6577">
        <w:rPr>
          <w:rFonts w:ascii="Arial" w:hAnsi="Arial" w:cs="Arial"/>
          <w:color w:val="000000"/>
          <w:lang w:val="es-UY"/>
        </w:rPr>
        <w:t xml:space="preserve"> criterio establecido en el artículo</w:t>
      </w:r>
      <w:r w:rsidR="00816F7C">
        <w:rPr>
          <w:rFonts w:ascii="Arial" w:hAnsi="Arial" w:cs="Arial"/>
          <w:color w:val="000000"/>
          <w:lang w:val="es-UY"/>
        </w:rPr>
        <w:t xml:space="preserve"> </w:t>
      </w:r>
      <w:r w:rsidR="005C3471">
        <w:rPr>
          <w:rFonts w:ascii="Arial" w:hAnsi="Arial" w:cs="Arial"/>
          <w:color w:val="000000"/>
          <w:lang w:val="es-UY"/>
        </w:rPr>
        <w:t xml:space="preserve">10 </w:t>
      </w:r>
      <w:r w:rsidR="00816F7C">
        <w:rPr>
          <w:rFonts w:ascii="Arial" w:hAnsi="Arial" w:cs="Arial"/>
          <w:color w:val="000000"/>
          <w:lang w:val="es-UY"/>
        </w:rPr>
        <w:t>de la Decisión</w:t>
      </w:r>
      <w:r w:rsidR="00296B81" w:rsidRPr="002D5BAC">
        <w:rPr>
          <w:rFonts w:ascii="Arial" w:hAnsi="Arial"/>
          <w:lang w:val="es-UY"/>
        </w:rPr>
        <w:t xml:space="preserve"> CMC N° 18/05.</w:t>
      </w:r>
    </w:p>
    <w:p w:rsidR="00296B81" w:rsidRPr="002D5BA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</w:p>
    <w:p w:rsidR="00296B81" w:rsidRPr="00816F7C" w:rsidRDefault="00296B81" w:rsidP="00296B81">
      <w:pPr>
        <w:jc w:val="both"/>
        <w:rPr>
          <w:rFonts w:ascii="Arial" w:hAnsi="Arial"/>
          <w:lang w:val="es-UY"/>
        </w:rPr>
      </w:pPr>
      <w:r w:rsidRPr="00816F7C">
        <w:rPr>
          <w:rFonts w:ascii="Arial" w:hAnsi="Arial" w:cs="Arial"/>
          <w:bCs/>
          <w:color w:val="000000"/>
          <w:lang w:val="es-UY" w:eastAsia="es-ES"/>
        </w:rPr>
        <w:t xml:space="preserve">Art. 3° - 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La República Bolivariana de Venezuela contribuirá, además con </w:t>
      </w:r>
      <w:r w:rsidR="00CE6577">
        <w:rPr>
          <w:rFonts w:ascii="Arial" w:hAnsi="Arial" w:cs="Arial"/>
          <w:bCs/>
          <w:color w:val="000000"/>
          <w:lang w:val="es-UY" w:eastAsia="es-ES"/>
        </w:rPr>
        <w:t>un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</w:t>
      </w:r>
      <w:r w:rsidR="00CE6577">
        <w:rPr>
          <w:rFonts w:ascii="Arial" w:hAnsi="Arial" w:cs="Arial"/>
          <w:bCs/>
          <w:color w:val="000000"/>
          <w:lang w:val="es-UY" w:eastAsia="es-ES"/>
        </w:rPr>
        <w:t>monto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de US$ 1</w:t>
      </w:r>
      <w:r w:rsidR="00031814">
        <w:rPr>
          <w:rFonts w:ascii="Arial" w:hAnsi="Arial" w:cs="Arial"/>
          <w:bCs/>
          <w:color w:val="000000"/>
          <w:lang w:val="es-UY" w:eastAsia="es-ES"/>
        </w:rPr>
        <w:t>1</w:t>
      </w:r>
      <w:r w:rsidR="00816F7C">
        <w:rPr>
          <w:rFonts w:ascii="Arial" w:hAnsi="Arial" w:cs="Arial"/>
          <w:bCs/>
          <w:color w:val="000000"/>
          <w:lang w:val="es-UY" w:eastAsia="es-ES"/>
        </w:rPr>
        <w:t>,5 millones (</w:t>
      </w:r>
      <w:r w:rsidR="00031814">
        <w:rPr>
          <w:rFonts w:ascii="Arial" w:hAnsi="Arial" w:cs="Arial"/>
          <w:bCs/>
          <w:color w:val="000000"/>
          <w:lang w:val="es-UY" w:eastAsia="es-ES"/>
        </w:rPr>
        <w:t>once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millones y quinien</w:t>
      </w:r>
      <w:r w:rsidR="00725572">
        <w:rPr>
          <w:rFonts w:ascii="Arial" w:hAnsi="Arial" w:cs="Arial"/>
          <w:bCs/>
          <w:color w:val="000000"/>
          <w:lang w:val="es-UY" w:eastAsia="es-ES"/>
        </w:rPr>
        <w:t>tos mil dólares estadunidenses)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destinado a financiar proyectos presentados por este Estado Parte en el marco de los Programas I, II e III, así como proyectos  plurinacionales </w:t>
      </w:r>
      <w:r w:rsidR="00725572">
        <w:rPr>
          <w:rFonts w:ascii="Arial" w:hAnsi="Arial" w:cs="Arial"/>
          <w:bCs/>
          <w:color w:val="000000"/>
          <w:lang w:val="es-UY" w:eastAsia="es-ES"/>
        </w:rPr>
        <w:t>en los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que </w:t>
      </w:r>
      <w:r w:rsidR="005C3471">
        <w:rPr>
          <w:rFonts w:ascii="Arial" w:hAnsi="Arial" w:cs="Arial"/>
          <w:bCs/>
          <w:color w:val="000000"/>
          <w:lang w:val="es-UY" w:eastAsia="es-ES"/>
        </w:rPr>
        <w:t>e</w:t>
      </w:r>
      <w:r w:rsidR="00816F7C">
        <w:rPr>
          <w:rFonts w:ascii="Arial" w:hAnsi="Arial" w:cs="Arial"/>
          <w:bCs/>
          <w:color w:val="000000"/>
          <w:lang w:val="es-UY" w:eastAsia="es-ES"/>
        </w:rPr>
        <w:t>l mismo participe, a ser administr</w:t>
      </w:r>
      <w:r w:rsidR="00725572">
        <w:rPr>
          <w:rFonts w:ascii="Arial" w:hAnsi="Arial" w:cs="Arial"/>
          <w:bCs/>
          <w:color w:val="000000"/>
          <w:lang w:val="es-UY" w:eastAsia="es-ES"/>
        </w:rPr>
        <w:t>ado por la Unidad Técnica FOCEM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de ac</w:t>
      </w:r>
      <w:r w:rsidR="005C3471">
        <w:rPr>
          <w:rFonts w:ascii="Arial" w:hAnsi="Arial" w:cs="Arial"/>
          <w:bCs/>
          <w:color w:val="000000"/>
          <w:lang w:val="es-UY" w:eastAsia="es-ES"/>
        </w:rPr>
        <w:t>ue</w:t>
      </w:r>
      <w:r w:rsidR="00816F7C">
        <w:rPr>
          <w:rFonts w:ascii="Arial" w:hAnsi="Arial" w:cs="Arial"/>
          <w:bCs/>
          <w:color w:val="000000"/>
          <w:lang w:val="es-UY" w:eastAsia="es-ES"/>
        </w:rPr>
        <w:t>rd</w:t>
      </w:r>
      <w:r w:rsidR="00DD0878">
        <w:rPr>
          <w:rFonts w:ascii="Arial" w:hAnsi="Arial" w:cs="Arial"/>
          <w:bCs/>
          <w:color w:val="000000"/>
          <w:lang w:val="es-UY" w:eastAsia="es-ES"/>
        </w:rPr>
        <w:t>o</w:t>
      </w:r>
      <w:r w:rsidR="00816F7C">
        <w:rPr>
          <w:rFonts w:ascii="Arial" w:hAnsi="Arial" w:cs="Arial"/>
          <w:bCs/>
          <w:color w:val="000000"/>
          <w:lang w:val="es-UY" w:eastAsia="es-ES"/>
        </w:rPr>
        <w:t xml:space="preserve"> con la normativa aplicable.</w:t>
      </w:r>
      <w:r w:rsidRPr="00816F7C">
        <w:rPr>
          <w:rFonts w:ascii="Arial" w:hAnsi="Arial"/>
          <w:lang w:val="es-UY"/>
        </w:rPr>
        <w:t xml:space="preserve"> </w:t>
      </w:r>
    </w:p>
    <w:p w:rsidR="00296B81" w:rsidRPr="00816F7C" w:rsidRDefault="00296B81" w:rsidP="00816F7C">
      <w:pPr>
        <w:jc w:val="center"/>
        <w:rPr>
          <w:rFonts w:ascii="Arial" w:hAnsi="Arial" w:cs="Arial"/>
          <w:color w:val="000000"/>
          <w:lang w:val="es-UY"/>
        </w:rPr>
      </w:pPr>
    </w:p>
    <w:p w:rsidR="00296B81" w:rsidRPr="00816F7C" w:rsidRDefault="00816F7C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 w:rsidRPr="00816F7C">
        <w:rPr>
          <w:rFonts w:ascii="Arial" w:hAnsi="Arial" w:cs="Arial"/>
          <w:color w:val="000000"/>
          <w:lang w:val="es-UY"/>
        </w:rPr>
        <w:t>Lo</w:t>
      </w:r>
      <w:r w:rsidR="00725572">
        <w:rPr>
          <w:rFonts w:ascii="Arial" w:hAnsi="Arial" w:cs="Arial"/>
          <w:color w:val="000000"/>
          <w:lang w:val="es-UY"/>
        </w:rPr>
        <w:t xml:space="preserve">s gastos contemplados en el </w:t>
      </w:r>
      <w:r w:rsidR="00E45F87">
        <w:rPr>
          <w:rFonts w:ascii="Arial" w:hAnsi="Arial" w:cs="Arial"/>
          <w:color w:val="000000"/>
          <w:lang w:val="es-UY"/>
        </w:rPr>
        <w:t>a</w:t>
      </w:r>
      <w:r w:rsidR="00725572">
        <w:rPr>
          <w:rFonts w:ascii="Arial" w:hAnsi="Arial" w:cs="Arial"/>
          <w:color w:val="000000"/>
          <w:lang w:val="es-UY"/>
        </w:rPr>
        <w:t>rtículo</w:t>
      </w:r>
      <w:r w:rsidRPr="00816F7C">
        <w:rPr>
          <w:rFonts w:ascii="Arial" w:hAnsi="Arial" w:cs="Arial"/>
          <w:color w:val="000000"/>
          <w:lang w:val="es-UY"/>
        </w:rPr>
        <w:t>12 del Anexo de la Decisi</w:t>
      </w:r>
      <w:r>
        <w:rPr>
          <w:rFonts w:ascii="Arial" w:hAnsi="Arial" w:cs="Arial"/>
          <w:color w:val="000000"/>
          <w:lang w:val="es-UY"/>
        </w:rPr>
        <w:t xml:space="preserve">ón CMC </w:t>
      </w:r>
      <w:r w:rsidRPr="00816F7C">
        <w:rPr>
          <w:rFonts w:ascii="Arial" w:hAnsi="Arial" w:cs="Arial"/>
          <w:color w:val="000000"/>
          <w:lang w:val="es-UY"/>
        </w:rPr>
        <w:t>Nº 01/10</w:t>
      </w:r>
      <w:r>
        <w:rPr>
          <w:rFonts w:ascii="Arial" w:hAnsi="Arial" w:cs="Arial"/>
          <w:color w:val="000000"/>
          <w:lang w:val="es-UY"/>
        </w:rPr>
        <w:t xml:space="preserve"> serán </w:t>
      </w:r>
      <w:r w:rsidR="005C3471">
        <w:rPr>
          <w:rFonts w:ascii="Arial" w:hAnsi="Arial" w:cs="Arial"/>
          <w:color w:val="000000"/>
          <w:lang w:val="es-UY"/>
        </w:rPr>
        <w:t>deducidos</w:t>
      </w:r>
      <w:r>
        <w:rPr>
          <w:rFonts w:ascii="Arial" w:hAnsi="Arial" w:cs="Arial"/>
          <w:color w:val="000000"/>
          <w:lang w:val="es-UY"/>
        </w:rPr>
        <w:t xml:space="preserve"> de esos recursos.</w:t>
      </w:r>
    </w:p>
    <w:p w:rsidR="00296B81" w:rsidRPr="00816F7C" w:rsidRDefault="00296B81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Pr="00816F7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  <w:r w:rsidRPr="00816F7C">
        <w:rPr>
          <w:rFonts w:ascii="Arial" w:hAnsi="Arial" w:cs="Arial"/>
          <w:color w:val="000000"/>
          <w:lang w:val="es-UY"/>
        </w:rPr>
        <w:t xml:space="preserve">Art. 4° - </w:t>
      </w:r>
      <w:r w:rsidR="00816F7C" w:rsidRPr="00816F7C">
        <w:rPr>
          <w:rFonts w:ascii="Arial" w:hAnsi="Arial" w:cs="Arial"/>
          <w:color w:val="000000"/>
          <w:lang w:val="es-UY"/>
        </w:rPr>
        <w:t>El presente régimen de participación de la República Bolivariana de Venezuela en el FOCEM ser</w:t>
      </w:r>
      <w:r w:rsidR="00816F7C">
        <w:rPr>
          <w:rFonts w:ascii="Arial" w:hAnsi="Arial" w:cs="Arial"/>
          <w:color w:val="000000"/>
          <w:lang w:val="es-UY"/>
        </w:rPr>
        <w:t>á aplicable hasta</w:t>
      </w:r>
      <w:r w:rsidRPr="00816F7C">
        <w:rPr>
          <w:rFonts w:ascii="Arial" w:hAnsi="Arial" w:cs="Arial"/>
          <w:color w:val="000000"/>
          <w:lang w:val="es-UY"/>
        </w:rPr>
        <w:t xml:space="preserve"> </w:t>
      </w:r>
      <w:r w:rsidR="00B22906">
        <w:rPr>
          <w:rFonts w:ascii="Arial" w:hAnsi="Arial" w:cs="Arial"/>
          <w:color w:val="000000"/>
          <w:lang w:val="es-UY"/>
        </w:rPr>
        <w:t>la entrada en vigencia de la no</w:t>
      </w:r>
      <w:r w:rsidR="005C3471">
        <w:rPr>
          <w:rFonts w:ascii="Arial" w:hAnsi="Arial" w:cs="Arial"/>
          <w:color w:val="000000"/>
          <w:lang w:val="es-UY"/>
        </w:rPr>
        <w:t xml:space="preserve">rma que se adopte en virtud de lo dispuesto </w:t>
      </w:r>
      <w:r w:rsidR="00B22906">
        <w:rPr>
          <w:rFonts w:ascii="Arial" w:hAnsi="Arial" w:cs="Arial"/>
          <w:color w:val="000000"/>
          <w:lang w:val="es-UY"/>
        </w:rPr>
        <w:t xml:space="preserve">en la Decisión </w:t>
      </w:r>
      <w:r w:rsidRPr="00816F7C">
        <w:rPr>
          <w:rFonts w:ascii="Arial" w:hAnsi="Arial" w:cs="Arial"/>
          <w:color w:val="000000"/>
          <w:lang w:val="es-UY"/>
        </w:rPr>
        <w:t xml:space="preserve">CMC Nº </w:t>
      </w:r>
      <w:r w:rsidR="00F23AD4">
        <w:rPr>
          <w:rFonts w:ascii="Arial" w:hAnsi="Arial" w:cs="Arial"/>
          <w:color w:val="000000"/>
          <w:lang w:val="es-UY"/>
        </w:rPr>
        <w:t>40</w:t>
      </w:r>
      <w:r w:rsidRPr="00F23AD4">
        <w:rPr>
          <w:rFonts w:ascii="Arial" w:hAnsi="Arial" w:cs="Arial"/>
          <w:color w:val="000000"/>
          <w:lang w:val="es-UY"/>
        </w:rPr>
        <w:t>/12</w:t>
      </w:r>
      <w:r w:rsidRPr="00816F7C">
        <w:rPr>
          <w:rFonts w:ascii="Arial" w:hAnsi="Arial" w:cs="Arial"/>
          <w:color w:val="000000"/>
          <w:lang w:val="es-UY"/>
        </w:rPr>
        <w:t xml:space="preserve">. </w:t>
      </w:r>
    </w:p>
    <w:p w:rsidR="00296B81" w:rsidRPr="00816F7C" w:rsidRDefault="00296B81" w:rsidP="00296B81">
      <w:pPr>
        <w:jc w:val="both"/>
        <w:rPr>
          <w:rFonts w:ascii="Arial" w:hAnsi="Arial" w:cs="Arial"/>
          <w:color w:val="000000"/>
          <w:lang w:val="es-UY"/>
        </w:rPr>
      </w:pPr>
    </w:p>
    <w:p w:rsidR="00296B81" w:rsidRPr="00B22906" w:rsidRDefault="00296B81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 w:rsidRPr="00B22906">
        <w:rPr>
          <w:rFonts w:ascii="Arial" w:hAnsi="Arial" w:cs="Arial"/>
          <w:bCs/>
          <w:color w:val="000000"/>
          <w:lang w:val="es-UY" w:eastAsia="es-ES"/>
        </w:rPr>
        <w:t xml:space="preserve">Art. 5° - </w:t>
      </w:r>
      <w:r w:rsidR="00B22906" w:rsidRPr="00B22906">
        <w:rPr>
          <w:rFonts w:ascii="Arial" w:hAnsi="Arial" w:cs="Arial"/>
          <w:bCs/>
          <w:color w:val="000000"/>
          <w:lang w:val="es-UY" w:eastAsia="es-ES"/>
        </w:rPr>
        <w:t>La incorporación de la presente Decisión implicará ipso jure la incorporac</w:t>
      </w:r>
      <w:r w:rsidR="00B22906">
        <w:rPr>
          <w:rFonts w:ascii="Arial" w:hAnsi="Arial" w:cs="Arial"/>
          <w:bCs/>
          <w:color w:val="000000"/>
          <w:lang w:val="es-UY" w:eastAsia="es-ES"/>
        </w:rPr>
        <w:t>ión al ordenamiento jurídico interno de la República Bolivariana de Venezuela de las Decisiones</w:t>
      </w:r>
      <w:r w:rsidRPr="00B22906">
        <w:rPr>
          <w:rFonts w:ascii="Arial" w:hAnsi="Arial" w:cs="Arial"/>
          <w:color w:val="000000"/>
          <w:lang w:val="es-UY"/>
        </w:rPr>
        <w:t xml:space="preserve"> CMC Nº </w:t>
      </w:r>
      <w:r w:rsidRPr="00B22906">
        <w:rPr>
          <w:rFonts w:ascii="Arial" w:hAnsi="Arial" w:cs="Arial"/>
          <w:bCs/>
          <w:color w:val="000000"/>
          <w:lang w:val="es-UY" w:eastAsia="es-ES"/>
        </w:rPr>
        <w:t>27/03, 45/04, 18/05, 43/07, 04/08, 05/08, 30/08, 44/08, 01/10, 24/10</w:t>
      </w:r>
      <w:r w:rsidRPr="00B22906">
        <w:rPr>
          <w:rFonts w:ascii="Arial" w:hAnsi="Arial" w:cs="Arial"/>
          <w:color w:val="000000"/>
          <w:lang w:val="es-UY"/>
        </w:rPr>
        <w:t xml:space="preserve"> </w:t>
      </w:r>
      <w:r w:rsidR="00B22906">
        <w:rPr>
          <w:rFonts w:ascii="Arial" w:hAnsi="Arial" w:cs="Arial"/>
          <w:color w:val="000000"/>
          <w:lang w:val="es-UY"/>
        </w:rPr>
        <w:t>y de las Resoluciones</w:t>
      </w:r>
      <w:r w:rsidRPr="00B22906">
        <w:rPr>
          <w:rFonts w:ascii="Arial" w:hAnsi="Arial" w:cs="Arial"/>
          <w:color w:val="000000"/>
          <w:lang w:val="es-UY"/>
        </w:rPr>
        <w:t xml:space="preserve"> GMC Nº </w:t>
      </w:r>
      <w:r w:rsidR="00E45F87">
        <w:rPr>
          <w:rFonts w:ascii="Arial" w:hAnsi="Arial" w:cs="Arial"/>
          <w:bCs/>
          <w:color w:val="000000"/>
          <w:lang w:val="es-UY" w:eastAsia="es-ES"/>
        </w:rPr>
        <w:t xml:space="preserve">56/07 </w:t>
      </w:r>
      <w:r w:rsidR="005C3471">
        <w:rPr>
          <w:rFonts w:ascii="Arial" w:hAnsi="Arial" w:cs="Arial"/>
          <w:bCs/>
          <w:color w:val="000000"/>
          <w:lang w:val="es-UY" w:eastAsia="es-ES"/>
        </w:rPr>
        <w:t>y</w:t>
      </w:r>
      <w:r w:rsidRPr="00B22906">
        <w:rPr>
          <w:rFonts w:ascii="Arial" w:hAnsi="Arial" w:cs="Arial"/>
          <w:bCs/>
          <w:color w:val="000000"/>
          <w:lang w:val="es-UY" w:eastAsia="es-ES"/>
        </w:rPr>
        <w:t xml:space="preserve"> 18/12. </w:t>
      </w:r>
    </w:p>
    <w:p w:rsidR="00296B81" w:rsidRPr="00B22906" w:rsidRDefault="00296B81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Pr="00B22906" w:rsidRDefault="00296B81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  <w:r w:rsidRPr="00B22906">
        <w:rPr>
          <w:rFonts w:ascii="Arial" w:hAnsi="Arial" w:cs="Arial"/>
          <w:bCs/>
          <w:color w:val="000000"/>
          <w:lang w:val="es-UY" w:eastAsia="es-ES"/>
        </w:rPr>
        <w:t xml:space="preserve">Art. 6° - </w:t>
      </w:r>
      <w:r w:rsidR="005C3471">
        <w:rPr>
          <w:rFonts w:ascii="Arial" w:hAnsi="Arial" w:cs="Arial"/>
          <w:bCs/>
          <w:color w:val="000000"/>
          <w:lang w:val="es-UY" w:eastAsia="es-ES"/>
        </w:rPr>
        <w:t>Esta</w:t>
      </w:r>
      <w:r w:rsidR="00B22906" w:rsidRPr="00B22906">
        <w:rPr>
          <w:rFonts w:ascii="Arial" w:hAnsi="Arial" w:cs="Arial"/>
          <w:bCs/>
          <w:color w:val="000000"/>
          <w:lang w:val="es-UY" w:eastAsia="es-ES"/>
        </w:rPr>
        <w:t xml:space="preserve"> Decisión deberá ser incorporada al ordenamiento jur</w:t>
      </w:r>
      <w:r w:rsidR="00B22906">
        <w:rPr>
          <w:rFonts w:ascii="Arial" w:hAnsi="Arial" w:cs="Arial"/>
          <w:bCs/>
          <w:color w:val="000000"/>
          <w:lang w:val="es-UY" w:eastAsia="es-ES"/>
        </w:rPr>
        <w:t xml:space="preserve">ídico nacional de la República </w:t>
      </w:r>
      <w:r w:rsidR="00CD4A62">
        <w:rPr>
          <w:rFonts w:ascii="Arial" w:hAnsi="Arial" w:cs="Arial"/>
          <w:bCs/>
          <w:color w:val="000000"/>
          <w:lang w:val="es-UY" w:eastAsia="es-ES"/>
        </w:rPr>
        <w:t xml:space="preserve">Bolivariana </w:t>
      </w:r>
      <w:r w:rsidR="00B22906">
        <w:rPr>
          <w:rFonts w:ascii="Arial" w:hAnsi="Arial" w:cs="Arial"/>
          <w:bCs/>
          <w:color w:val="000000"/>
          <w:lang w:val="es-UY" w:eastAsia="es-ES"/>
        </w:rPr>
        <w:t>de Venezuela</w:t>
      </w:r>
      <w:r w:rsidRPr="00B22906">
        <w:rPr>
          <w:rFonts w:ascii="Arial" w:hAnsi="Arial" w:cs="Arial"/>
          <w:bCs/>
          <w:color w:val="000000"/>
          <w:lang w:val="es-UY" w:eastAsia="es-ES"/>
        </w:rPr>
        <w:t xml:space="preserve">. </w:t>
      </w:r>
    </w:p>
    <w:p w:rsidR="00296B81" w:rsidRPr="00B22906" w:rsidRDefault="00296B81" w:rsidP="00296B81">
      <w:pPr>
        <w:jc w:val="both"/>
        <w:rPr>
          <w:rFonts w:ascii="Arial" w:hAnsi="Arial" w:cs="Arial"/>
          <w:bCs/>
          <w:color w:val="000000"/>
          <w:lang w:val="es-UY" w:eastAsia="es-ES"/>
        </w:rPr>
      </w:pPr>
    </w:p>
    <w:p w:rsidR="00296B81" w:rsidRPr="00B22906" w:rsidRDefault="00296B81" w:rsidP="00296B81">
      <w:pPr>
        <w:jc w:val="both"/>
        <w:rPr>
          <w:lang w:val="es-UY"/>
        </w:rPr>
      </w:pPr>
    </w:p>
    <w:p w:rsidR="00296B81" w:rsidRPr="00B22906" w:rsidRDefault="00296B81" w:rsidP="00296B81">
      <w:pPr>
        <w:jc w:val="both"/>
        <w:rPr>
          <w:lang w:val="es-UY"/>
        </w:rPr>
      </w:pPr>
    </w:p>
    <w:p w:rsidR="00296B81" w:rsidRPr="0082273B" w:rsidRDefault="00296B81" w:rsidP="00296B81">
      <w:pPr>
        <w:jc w:val="right"/>
        <w:rPr>
          <w:rFonts w:ascii="Arial" w:hAnsi="Arial" w:cs="Arial"/>
          <w:b/>
          <w:lang w:eastAsia="en-US"/>
        </w:rPr>
      </w:pPr>
      <w:r w:rsidRPr="0082273B">
        <w:rPr>
          <w:rFonts w:ascii="Arial" w:hAnsi="Arial" w:cs="Arial"/>
          <w:b/>
          <w:lang w:eastAsia="en-US"/>
        </w:rPr>
        <w:t>XL</w:t>
      </w:r>
      <w:r>
        <w:rPr>
          <w:rFonts w:ascii="Arial" w:hAnsi="Arial" w:cs="Arial"/>
          <w:b/>
          <w:lang w:eastAsia="en-US"/>
        </w:rPr>
        <w:t>IV</w:t>
      </w:r>
      <w:r w:rsidRPr="0082273B">
        <w:rPr>
          <w:rFonts w:ascii="Arial" w:hAnsi="Arial" w:cs="Arial"/>
          <w:b/>
          <w:lang w:eastAsia="en-US"/>
        </w:rPr>
        <w:t xml:space="preserve"> CMC – </w:t>
      </w:r>
      <w:proofErr w:type="spellStart"/>
      <w:r w:rsidR="00B22906">
        <w:rPr>
          <w:rFonts w:ascii="Arial" w:hAnsi="Arial" w:cs="Arial"/>
          <w:b/>
          <w:lang w:eastAsia="en-US"/>
        </w:rPr>
        <w:t>Brasilia</w:t>
      </w:r>
      <w:proofErr w:type="spellEnd"/>
      <w:r w:rsidRPr="0082273B">
        <w:rPr>
          <w:rFonts w:ascii="Arial" w:hAnsi="Arial" w:cs="Arial"/>
          <w:b/>
          <w:lang w:eastAsia="en-US"/>
        </w:rPr>
        <w:t xml:space="preserve">, </w:t>
      </w:r>
      <w:r w:rsidR="00950114">
        <w:rPr>
          <w:rFonts w:ascii="Arial" w:hAnsi="Arial" w:cs="Arial"/>
          <w:b/>
          <w:lang w:eastAsia="en-US"/>
        </w:rPr>
        <w:t>06</w:t>
      </w:r>
      <w:r w:rsidRPr="0082273B">
        <w:rPr>
          <w:rFonts w:ascii="Arial" w:hAnsi="Arial" w:cs="Arial"/>
          <w:b/>
          <w:lang w:eastAsia="en-US"/>
        </w:rPr>
        <w:t>/XII/1</w:t>
      </w:r>
      <w:r>
        <w:rPr>
          <w:rFonts w:ascii="Arial" w:hAnsi="Arial" w:cs="Arial"/>
          <w:b/>
          <w:lang w:eastAsia="en-US"/>
        </w:rPr>
        <w:t>2</w:t>
      </w:r>
      <w:r w:rsidRPr="0082273B">
        <w:rPr>
          <w:rFonts w:ascii="Arial" w:hAnsi="Arial" w:cs="Arial"/>
          <w:b/>
          <w:lang w:eastAsia="en-US"/>
        </w:rPr>
        <w:t>.</w:t>
      </w:r>
    </w:p>
    <w:p w:rsidR="002003EB" w:rsidRDefault="002003EB"/>
    <w:sectPr w:rsidR="002003EB" w:rsidSect="007228AD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16" w:rsidRDefault="00296816" w:rsidP="007228AD">
      <w:r>
        <w:separator/>
      </w:r>
    </w:p>
  </w:endnote>
  <w:endnote w:type="continuationSeparator" w:id="0">
    <w:p w:rsidR="00296816" w:rsidRDefault="00296816" w:rsidP="007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083667"/>
      <w:docPartObj>
        <w:docPartGallery w:val="Page Numbers (Bottom of Page)"/>
        <w:docPartUnique/>
      </w:docPartObj>
    </w:sdtPr>
    <w:sdtEndPr/>
    <w:sdtContent>
      <w:p w:rsidR="007228AD" w:rsidRDefault="007228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C8">
          <w:rPr>
            <w:noProof/>
          </w:rPr>
          <w:t>2</w:t>
        </w:r>
        <w:r>
          <w:fldChar w:fldCharType="end"/>
        </w:r>
      </w:p>
    </w:sdtContent>
  </w:sdt>
  <w:p w:rsidR="007228AD" w:rsidRDefault="007228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16" w:rsidRDefault="00296816" w:rsidP="007228AD">
      <w:r>
        <w:separator/>
      </w:r>
    </w:p>
  </w:footnote>
  <w:footnote w:type="continuationSeparator" w:id="0">
    <w:p w:rsidR="00296816" w:rsidRDefault="00296816" w:rsidP="0072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1"/>
    <w:rsid w:val="00010D8F"/>
    <w:rsid w:val="00031814"/>
    <w:rsid w:val="0011750E"/>
    <w:rsid w:val="002003EB"/>
    <w:rsid w:val="0026760B"/>
    <w:rsid w:val="00296816"/>
    <w:rsid w:val="00296B81"/>
    <w:rsid w:val="002C3080"/>
    <w:rsid w:val="002D5BAC"/>
    <w:rsid w:val="002E6102"/>
    <w:rsid w:val="0032423F"/>
    <w:rsid w:val="00326093"/>
    <w:rsid w:val="003B6AE7"/>
    <w:rsid w:val="003B76AB"/>
    <w:rsid w:val="003F7AB3"/>
    <w:rsid w:val="004703F8"/>
    <w:rsid w:val="005C3471"/>
    <w:rsid w:val="00682FC8"/>
    <w:rsid w:val="006F7F0A"/>
    <w:rsid w:val="007228AD"/>
    <w:rsid w:val="00725572"/>
    <w:rsid w:val="007F574E"/>
    <w:rsid w:val="00816F7C"/>
    <w:rsid w:val="0082717D"/>
    <w:rsid w:val="00950114"/>
    <w:rsid w:val="009B07FD"/>
    <w:rsid w:val="00B22906"/>
    <w:rsid w:val="00B61F01"/>
    <w:rsid w:val="00CD4A62"/>
    <w:rsid w:val="00CE6577"/>
    <w:rsid w:val="00CF1E16"/>
    <w:rsid w:val="00CF434F"/>
    <w:rsid w:val="00DD0878"/>
    <w:rsid w:val="00E45F87"/>
    <w:rsid w:val="00F2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296B81"/>
    <w:pPr>
      <w:keepNext/>
      <w:jc w:val="center"/>
      <w:outlineLvl w:val="0"/>
    </w:pPr>
    <w:rPr>
      <w:b/>
      <w:bCs/>
      <w:lang w:val="es-PY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6B81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paragraph" w:styleId="Ttulo">
    <w:name w:val="Title"/>
    <w:basedOn w:val="Normal"/>
    <w:link w:val="TtuloChar"/>
    <w:qFormat/>
    <w:rsid w:val="00296B81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296B81"/>
    <w:rPr>
      <w:rFonts w:ascii="Times New Roman" w:eastAsia="Times New Roman" w:hAnsi="Times New Roman" w:cs="Times New Roman"/>
      <w:sz w:val="28"/>
      <w:szCs w:val="2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22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8A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22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8A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296B81"/>
    <w:pPr>
      <w:keepNext/>
      <w:jc w:val="center"/>
      <w:outlineLvl w:val="0"/>
    </w:pPr>
    <w:rPr>
      <w:b/>
      <w:bCs/>
      <w:lang w:val="es-PY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6B81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paragraph" w:styleId="Ttulo">
    <w:name w:val="Title"/>
    <w:basedOn w:val="Normal"/>
    <w:link w:val="TtuloChar"/>
    <w:qFormat/>
    <w:rsid w:val="00296B81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296B81"/>
    <w:rPr>
      <w:rFonts w:ascii="Times New Roman" w:eastAsia="Times New Roman" w:hAnsi="Times New Roman" w:cs="Times New Roman"/>
      <w:sz w:val="28"/>
      <w:szCs w:val="2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22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8A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22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8A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usuario_snd</dc:creator>
  <cp:lastModifiedBy>evento</cp:lastModifiedBy>
  <cp:revision>25</cp:revision>
  <dcterms:created xsi:type="dcterms:W3CDTF">2012-12-06T03:37:00Z</dcterms:created>
  <dcterms:modified xsi:type="dcterms:W3CDTF">2012-12-07T17:24:00Z</dcterms:modified>
</cp:coreProperties>
</file>