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AA3" w:rsidRPr="00112B63" w:rsidRDefault="004F4AA3" w:rsidP="00E07152">
      <w:pPr>
        <w:jc w:val="both"/>
        <w:rPr>
          <w:rFonts w:ascii="Arial" w:hAnsi="Arial" w:cs="Arial"/>
          <w:b/>
          <w:sz w:val="24"/>
          <w:szCs w:val="24"/>
          <w:lang w:val="es-AR"/>
        </w:rPr>
      </w:pPr>
    </w:p>
    <w:p w:rsidR="004F4AA3" w:rsidRPr="007D1232" w:rsidRDefault="004F4AA3" w:rsidP="004F4AA3">
      <w:pPr>
        <w:pStyle w:val="Default"/>
        <w:ind w:left="851" w:right="566"/>
        <w:jc w:val="both"/>
        <w:rPr>
          <w:b/>
          <w:color w:val="auto"/>
          <w:lang w:val="es-AR"/>
        </w:rPr>
      </w:pPr>
      <w:r w:rsidRPr="007D1232">
        <w:rPr>
          <w:b/>
          <w:color w:val="auto"/>
          <w:lang w:val="es-AR"/>
        </w:rPr>
        <w:t xml:space="preserve">MERCOSUR/CMC/DEC. N° </w:t>
      </w:r>
      <w:r w:rsidR="009B6FFE" w:rsidRPr="007D1232">
        <w:rPr>
          <w:b/>
          <w:color w:val="auto"/>
          <w:lang w:val="es-AR"/>
        </w:rPr>
        <w:t>35</w:t>
      </w:r>
      <w:r w:rsidRPr="007D1232">
        <w:rPr>
          <w:b/>
          <w:color w:val="auto"/>
          <w:lang w:val="es-AR"/>
        </w:rPr>
        <w:t>/14</w:t>
      </w:r>
    </w:p>
    <w:p w:rsidR="00E07152" w:rsidRPr="007D1232" w:rsidRDefault="00E07152" w:rsidP="00D058A9">
      <w:pPr>
        <w:pStyle w:val="Ttulo1"/>
        <w:ind w:left="851" w:right="849"/>
        <w:rPr>
          <w:rFonts w:cs="Arial"/>
          <w:szCs w:val="24"/>
          <w:lang w:val="es-AR"/>
        </w:rPr>
      </w:pPr>
    </w:p>
    <w:p w:rsidR="00524B55" w:rsidRPr="007D1232" w:rsidRDefault="00524B55" w:rsidP="00D058A9">
      <w:pPr>
        <w:ind w:left="851" w:right="849"/>
        <w:rPr>
          <w:rFonts w:ascii="Arial" w:hAnsi="Arial" w:cs="Arial"/>
          <w:sz w:val="24"/>
          <w:szCs w:val="24"/>
          <w:lang w:val="es-AR"/>
        </w:rPr>
      </w:pPr>
    </w:p>
    <w:p w:rsidR="00141D0F" w:rsidRPr="00C57243" w:rsidRDefault="00F82354" w:rsidP="00D058A9">
      <w:pPr>
        <w:pStyle w:val="Ttulo2"/>
        <w:ind w:left="851" w:right="849"/>
        <w:rPr>
          <w:rFonts w:cs="Arial"/>
          <w:szCs w:val="24"/>
          <w:lang w:val="es-AR"/>
        </w:rPr>
      </w:pPr>
      <w:r w:rsidRPr="00C57243">
        <w:rPr>
          <w:rFonts w:cs="Arial"/>
          <w:szCs w:val="24"/>
          <w:lang w:val="es-AR"/>
        </w:rPr>
        <w:t>PRÓRROGA REGÍMENES ESPECIALES DE IMPORTACIÓN</w:t>
      </w:r>
    </w:p>
    <w:p w:rsidR="00141D0F" w:rsidRPr="00C57243" w:rsidRDefault="00141D0F" w:rsidP="00D058A9">
      <w:pPr>
        <w:ind w:left="851" w:right="849"/>
        <w:rPr>
          <w:rFonts w:ascii="Arial" w:hAnsi="Arial" w:cs="Arial"/>
          <w:sz w:val="24"/>
          <w:szCs w:val="24"/>
          <w:lang w:val="es-AR"/>
        </w:rPr>
      </w:pPr>
    </w:p>
    <w:p w:rsidR="007C610F" w:rsidRPr="00C57243" w:rsidRDefault="00141D0F" w:rsidP="001E0076">
      <w:pPr>
        <w:pStyle w:val="Corpodetexto21"/>
        <w:ind w:left="851" w:right="849" w:firstLine="565"/>
        <w:rPr>
          <w:rFonts w:cs="Arial"/>
          <w:b w:val="0"/>
          <w:szCs w:val="24"/>
          <w:lang w:val="es-AR"/>
        </w:rPr>
      </w:pPr>
      <w:r w:rsidRPr="00C57243">
        <w:rPr>
          <w:rFonts w:cs="Arial"/>
          <w:szCs w:val="24"/>
          <w:lang w:val="es-AR"/>
        </w:rPr>
        <w:t>VIST</w:t>
      </w:r>
      <w:r w:rsidR="00367C83" w:rsidRPr="00C57243">
        <w:rPr>
          <w:rFonts w:cs="Arial"/>
          <w:szCs w:val="24"/>
          <w:lang w:val="es-AR"/>
        </w:rPr>
        <w:t>O</w:t>
      </w:r>
      <w:r w:rsidRPr="00C57243">
        <w:rPr>
          <w:rFonts w:cs="Arial"/>
          <w:szCs w:val="24"/>
          <w:lang w:val="es-AR"/>
        </w:rPr>
        <w:t>:</w:t>
      </w:r>
      <w:r w:rsidRPr="00C57243">
        <w:rPr>
          <w:rFonts w:cs="Arial"/>
          <w:b w:val="0"/>
          <w:szCs w:val="24"/>
          <w:lang w:val="es-AR"/>
        </w:rPr>
        <w:t xml:space="preserve"> </w:t>
      </w:r>
      <w:r w:rsidR="00367C83" w:rsidRPr="00C57243">
        <w:rPr>
          <w:rFonts w:cs="Arial"/>
          <w:b w:val="0"/>
          <w:szCs w:val="24"/>
          <w:lang w:val="es-AR"/>
        </w:rPr>
        <w:t>El</w:t>
      </w:r>
      <w:r w:rsidRPr="00C57243">
        <w:rPr>
          <w:rFonts w:cs="Arial"/>
          <w:b w:val="0"/>
          <w:szCs w:val="24"/>
          <w:lang w:val="es-AR"/>
        </w:rPr>
        <w:t xml:space="preserve"> Tratado de Asun</w:t>
      </w:r>
      <w:r w:rsidR="00367C83" w:rsidRPr="00C57243">
        <w:rPr>
          <w:rFonts w:cs="Arial"/>
          <w:b w:val="0"/>
          <w:szCs w:val="24"/>
          <w:lang w:val="es-AR"/>
        </w:rPr>
        <w:t>ción</w:t>
      </w:r>
      <w:r w:rsidRPr="00C57243">
        <w:rPr>
          <w:rFonts w:cs="Arial"/>
          <w:b w:val="0"/>
          <w:szCs w:val="24"/>
          <w:lang w:val="es-AR"/>
        </w:rPr>
        <w:t xml:space="preserve">, </w:t>
      </w:r>
      <w:r w:rsidR="00367C83" w:rsidRPr="00C57243">
        <w:rPr>
          <w:rFonts w:cs="Arial"/>
          <w:b w:val="0"/>
          <w:szCs w:val="24"/>
          <w:lang w:val="es-AR"/>
        </w:rPr>
        <w:t>el</w:t>
      </w:r>
      <w:r w:rsidRPr="00C57243">
        <w:rPr>
          <w:rFonts w:cs="Arial"/>
          <w:b w:val="0"/>
          <w:szCs w:val="24"/>
          <w:lang w:val="es-AR"/>
        </w:rPr>
        <w:t xml:space="preserve"> Protocolo de </w:t>
      </w:r>
      <w:proofErr w:type="spellStart"/>
      <w:r w:rsidRPr="00C57243">
        <w:rPr>
          <w:rFonts w:cs="Arial"/>
          <w:b w:val="0"/>
          <w:szCs w:val="24"/>
          <w:lang w:val="es-AR"/>
        </w:rPr>
        <w:t>Ouro</w:t>
      </w:r>
      <w:proofErr w:type="spellEnd"/>
      <w:r w:rsidRPr="00C57243">
        <w:rPr>
          <w:rFonts w:cs="Arial"/>
          <w:b w:val="0"/>
          <w:szCs w:val="24"/>
          <w:lang w:val="es-AR"/>
        </w:rPr>
        <w:t xml:space="preserve"> </w:t>
      </w:r>
      <w:proofErr w:type="spellStart"/>
      <w:r w:rsidRPr="00C57243">
        <w:rPr>
          <w:rFonts w:cs="Arial"/>
          <w:b w:val="0"/>
          <w:szCs w:val="24"/>
          <w:lang w:val="es-AR"/>
        </w:rPr>
        <w:t>Preto</w:t>
      </w:r>
      <w:proofErr w:type="spellEnd"/>
      <w:r w:rsidR="007C610F" w:rsidRPr="00C57243">
        <w:rPr>
          <w:rFonts w:cs="Arial"/>
          <w:b w:val="0"/>
          <w:szCs w:val="24"/>
          <w:lang w:val="es-AR"/>
        </w:rPr>
        <w:t xml:space="preserve"> y</w:t>
      </w:r>
      <w:r w:rsidR="00E57A5C" w:rsidRPr="00C57243">
        <w:rPr>
          <w:rFonts w:cs="Arial"/>
          <w:b w:val="0"/>
          <w:szCs w:val="24"/>
          <w:lang w:val="es-AR"/>
        </w:rPr>
        <w:t xml:space="preserve"> </w:t>
      </w:r>
      <w:r w:rsidR="00367C83" w:rsidRPr="00C57243">
        <w:rPr>
          <w:rFonts w:cs="Arial"/>
          <w:b w:val="0"/>
          <w:szCs w:val="24"/>
          <w:lang w:val="es-AR"/>
        </w:rPr>
        <w:t>la</w:t>
      </w:r>
      <w:r w:rsidRPr="00C57243">
        <w:rPr>
          <w:rFonts w:cs="Arial"/>
          <w:b w:val="0"/>
          <w:szCs w:val="24"/>
          <w:lang w:val="es-AR"/>
        </w:rPr>
        <w:t>s Decis</w:t>
      </w:r>
      <w:r w:rsidR="00367C83" w:rsidRPr="00C57243">
        <w:rPr>
          <w:rFonts w:cs="Arial"/>
          <w:b w:val="0"/>
          <w:szCs w:val="24"/>
          <w:lang w:val="es-AR"/>
        </w:rPr>
        <w:t>iones</w:t>
      </w:r>
      <w:r w:rsidRPr="00C57243">
        <w:rPr>
          <w:rFonts w:cs="Arial"/>
          <w:b w:val="0"/>
          <w:szCs w:val="24"/>
          <w:lang w:val="es-AR"/>
        </w:rPr>
        <w:t xml:space="preserve"> Nº 07/94, </w:t>
      </w:r>
      <w:r w:rsidR="002E71BF" w:rsidRPr="00C57243">
        <w:rPr>
          <w:rFonts w:cs="Arial"/>
          <w:b w:val="0"/>
          <w:szCs w:val="24"/>
          <w:lang w:val="es-AR"/>
        </w:rPr>
        <w:t>0</w:t>
      </w:r>
      <w:r w:rsidR="00F82354" w:rsidRPr="00C57243">
        <w:rPr>
          <w:rFonts w:cs="Arial"/>
          <w:b w:val="0"/>
          <w:szCs w:val="24"/>
          <w:lang w:val="es-AR"/>
        </w:rPr>
        <w:t xml:space="preserve">8/94, </w:t>
      </w:r>
      <w:r w:rsidR="00F929D9" w:rsidRPr="00C57243">
        <w:rPr>
          <w:rFonts w:cs="Arial"/>
          <w:b w:val="0"/>
          <w:szCs w:val="24"/>
          <w:lang w:val="es-AR"/>
        </w:rPr>
        <w:t xml:space="preserve">01/04, </w:t>
      </w:r>
      <w:r w:rsidR="00175539" w:rsidRPr="00C57243">
        <w:rPr>
          <w:rFonts w:cs="Arial"/>
          <w:b w:val="0"/>
          <w:szCs w:val="24"/>
          <w:lang w:val="es-AR"/>
        </w:rPr>
        <w:t xml:space="preserve">01/09, </w:t>
      </w:r>
      <w:r w:rsidR="001A7AE2" w:rsidRPr="00C57243">
        <w:rPr>
          <w:rFonts w:cs="Arial"/>
          <w:b w:val="0"/>
          <w:szCs w:val="24"/>
          <w:lang w:val="es-AR"/>
        </w:rPr>
        <w:t xml:space="preserve">33/10, </w:t>
      </w:r>
      <w:r w:rsidR="00F929D9" w:rsidRPr="00C57243">
        <w:rPr>
          <w:rFonts w:cs="Arial"/>
          <w:b w:val="0"/>
          <w:szCs w:val="24"/>
          <w:lang w:val="es-AR"/>
        </w:rPr>
        <w:t>44/10, 56/10</w:t>
      </w:r>
      <w:r w:rsidR="00175539" w:rsidRPr="00C57243">
        <w:rPr>
          <w:rFonts w:cs="Arial"/>
          <w:b w:val="0"/>
          <w:szCs w:val="24"/>
          <w:lang w:val="es-AR"/>
        </w:rPr>
        <w:t>, 57/10, 58/10, 59/10</w:t>
      </w:r>
      <w:r w:rsidR="001A7AE2" w:rsidRPr="00C57243">
        <w:rPr>
          <w:rFonts w:cs="Arial"/>
          <w:b w:val="0"/>
          <w:szCs w:val="24"/>
          <w:lang w:val="es-AR"/>
        </w:rPr>
        <w:t xml:space="preserve">, 36/11, 37/11 y </w:t>
      </w:r>
      <w:r w:rsidR="00175539" w:rsidRPr="00C57243">
        <w:rPr>
          <w:rFonts w:cs="Arial"/>
          <w:b w:val="0"/>
          <w:szCs w:val="24"/>
          <w:lang w:val="es-AR"/>
        </w:rPr>
        <w:t>39/11</w:t>
      </w:r>
      <w:r w:rsidR="007C610F" w:rsidRPr="00C57243">
        <w:rPr>
          <w:rFonts w:cs="Arial"/>
          <w:b w:val="0"/>
          <w:szCs w:val="24"/>
          <w:lang w:val="es-AR"/>
        </w:rPr>
        <w:t xml:space="preserve"> </w:t>
      </w:r>
      <w:r w:rsidR="00DB6E08" w:rsidRPr="00C57243">
        <w:rPr>
          <w:rFonts w:cs="Arial"/>
          <w:b w:val="0"/>
          <w:szCs w:val="24"/>
          <w:lang w:val="es-AR"/>
        </w:rPr>
        <w:t>d</w:t>
      </w:r>
      <w:r w:rsidR="00367C83" w:rsidRPr="00C57243">
        <w:rPr>
          <w:rFonts w:cs="Arial"/>
          <w:b w:val="0"/>
          <w:szCs w:val="24"/>
          <w:lang w:val="es-AR"/>
        </w:rPr>
        <w:t>el</w:t>
      </w:r>
      <w:r w:rsidR="00DB6E08" w:rsidRPr="00C57243">
        <w:rPr>
          <w:rFonts w:cs="Arial"/>
          <w:b w:val="0"/>
          <w:szCs w:val="24"/>
          <w:lang w:val="es-AR"/>
        </w:rPr>
        <w:t xml:space="preserve"> Cons</w:t>
      </w:r>
      <w:r w:rsidR="00367C83" w:rsidRPr="00C57243">
        <w:rPr>
          <w:rFonts w:cs="Arial"/>
          <w:b w:val="0"/>
          <w:szCs w:val="24"/>
          <w:lang w:val="es-AR"/>
        </w:rPr>
        <w:t>ej</w:t>
      </w:r>
      <w:r w:rsidR="00877DC8" w:rsidRPr="00C57243">
        <w:rPr>
          <w:rFonts w:cs="Arial"/>
          <w:b w:val="0"/>
          <w:szCs w:val="24"/>
          <w:lang w:val="es-AR"/>
        </w:rPr>
        <w:t>o d</w:t>
      </w:r>
      <w:r w:rsidR="00367C83" w:rsidRPr="00C57243">
        <w:rPr>
          <w:rFonts w:cs="Arial"/>
          <w:b w:val="0"/>
          <w:szCs w:val="24"/>
          <w:lang w:val="es-AR"/>
        </w:rPr>
        <w:t>el</w:t>
      </w:r>
      <w:r w:rsidR="00877DC8" w:rsidRPr="00C57243">
        <w:rPr>
          <w:rFonts w:cs="Arial"/>
          <w:b w:val="0"/>
          <w:szCs w:val="24"/>
          <w:lang w:val="es-AR"/>
        </w:rPr>
        <w:t xml:space="preserve"> Mercado Com</w:t>
      </w:r>
      <w:r w:rsidR="00367C83" w:rsidRPr="00C57243">
        <w:rPr>
          <w:rFonts w:cs="Arial"/>
          <w:b w:val="0"/>
          <w:szCs w:val="24"/>
          <w:lang w:val="es-AR"/>
        </w:rPr>
        <w:t>ún</w:t>
      </w:r>
      <w:r w:rsidR="007C610F" w:rsidRPr="00C57243">
        <w:rPr>
          <w:rFonts w:cs="Arial"/>
          <w:b w:val="0"/>
          <w:szCs w:val="24"/>
          <w:lang w:val="es-AR"/>
        </w:rPr>
        <w:t>.</w:t>
      </w:r>
    </w:p>
    <w:p w:rsidR="00F929D9" w:rsidRPr="00C57243" w:rsidRDefault="00141D0F" w:rsidP="00D058A9">
      <w:pPr>
        <w:pStyle w:val="Corpodetexto21"/>
        <w:ind w:left="851" w:right="849"/>
        <w:rPr>
          <w:rFonts w:cs="Arial"/>
          <w:b w:val="0"/>
          <w:szCs w:val="24"/>
          <w:lang w:val="es-AR"/>
        </w:rPr>
      </w:pPr>
      <w:r w:rsidRPr="00C57243">
        <w:rPr>
          <w:rFonts w:cs="Arial"/>
          <w:szCs w:val="24"/>
          <w:lang w:val="es-AR"/>
        </w:rPr>
        <w:br/>
        <w:t xml:space="preserve">CONSIDERANDO: </w:t>
      </w:r>
      <w:r w:rsidRPr="00C57243">
        <w:rPr>
          <w:rFonts w:cs="Arial"/>
          <w:szCs w:val="24"/>
          <w:lang w:val="es-AR"/>
        </w:rPr>
        <w:br/>
      </w:r>
    </w:p>
    <w:p w:rsidR="00C60222" w:rsidRPr="00C57243" w:rsidRDefault="00141D0F" w:rsidP="00D058A9">
      <w:pPr>
        <w:pStyle w:val="Corpodetexto21"/>
        <w:ind w:left="851" w:right="849"/>
        <w:rPr>
          <w:rFonts w:cs="Arial"/>
          <w:b w:val="0"/>
          <w:szCs w:val="24"/>
          <w:lang w:val="es-AR"/>
        </w:rPr>
      </w:pPr>
      <w:r w:rsidRPr="00C57243">
        <w:rPr>
          <w:rFonts w:cs="Arial"/>
          <w:b w:val="0"/>
          <w:szCs w:val="24"/>
          <w:lang w:val="es-AR"/>
        </w:rPr>
        <w:t xml:space="preserve">Que </w:t>
      </w:r>
      <w:r w:rsidR="00367C83" w:rsidRPr="00C57243">
        <w:rPr>
          <w:rFonts w:cs="Arial"/>
          <w:b w:val="0"/>
          <w:szCs w:val="24"/>
          <w:lang w:val="es-AR"/>
        </w:rPr>
        <w:t>l</w:t>
      </w:r>
      <w:r w:rsidRPr="00C57243">
        <w:rPr>
          <w:rFonts w:cs="Arial"/>
          <w:b w:val="0"/>
          <w:szCs w:val="24"/>
          <w:lang w:val="es-AR"/>
        </w:rPr>
        <w:t>a consecu</w:t>
      </w:r>
      <w:r w:rsidR="00367C83" w:rsidRPr="00C57243">
        <w:rPr>
          <w:rFonts w:cs="Arial"/>
          <w:b w:val="0"/>
          <w:szCs w:val="24"/>
          <w:lang w:val="es-AR"/>
        </w:rPr>
        <w:t>ción</w:t>
      </w:r>
      <w:r w:rsidRPr="00C57243">
        <w:rPr>
          <w:rFonts w:cs="Arial"/>
          <w:b w:val="0"/>
          <w:szCs w:val="24"/>
          <w:lang w:val="es-AR"/>
        </w:rPr>
        <w:t xml:space="preserve"> d</w:t>
      </w:r>
      <w:r w:rsidR="00367C83" w:rsidRPr="00C57243">
        <w:rPr>
          <w:rFonts w:cs="Arial"/>
          <w:b w:val="0"/>
          <w:szCs w:val="24"/>
          <w:lang w:val="es-AR"/>
        </w:rPr>
        <w:t>e l</w:t>
      </w:r>
      <w:r w:rsidRPr="00C57243">
        <w:rPr>
          <w:rFonts w:cs="Arial"/>
          <w:b w:val="0"/>
          <w:szCs w:val="24"/>
          <w:lang w:val="es-AR"/>
        </w:rPr>
        <w:t>os objetivos d</w:t>
      </w:r>
      <w:r w:rsidR="00367C83" w:rsidRPr="00C57243">
        <w:rPr>
          <w:rFonts w:cs="Arial"/>
          <w:b w:val="0"/>
          <w:szCs w:val="24"/>
          <w:lang w:val="es-AR"/>
        </w:rPr>
        <w:t>el Tratado de As</w:t>
      </w:r>
      <w:r w:rsidRPr="00C57243">
        <w:rPr>
          <w:rFonts w:cs="Arial"/>
          <w:b w:val="0"/>
          <w:szCs w:val="24"/>
          <w:lang w:val="es-AR"/>
        </w:rPr>
        <w:t>un</w:t>
      </w:r>
      <w:r w:rsidR="00367C83" w:rsidRPr="00C57243">
        <w:rPr>
          <w:rFonts w:cs="Arial"/>
          <w:b w:val="0"/>
          <w:szCs w:val="24"/>
          <w:lang w:val="es-AR"/>
        </w:rPr>
        <w:t>ción</w:t>
      </w:r>
      <w:r w:rsidRPr="00C57243">
        <w:rPr>
          <w:rFonts w:cs="Arial"/>
          <w:b w:val="0"/>
          <w:szCs w:val="24"/>
          <w:lang w:val="es-AR"/>
        </w:rPr>
        <w:t xml:space="preserve"> requ</w:t>
      </w:r>
      <w:r w:rsidR="00367C83" w:rsidRPr="00C57243">
        <w:rPr>
          <w:rFonts w:cs="Arial"/>
          <w:b w:val="0"/>
          <w:szCs w:val="24"/>
          <w:lang w:val="es-AR"/>
        </w:rPr>
        <w:t>i</w:t>
      </w:r>
      <w:r w:rsidRPr="00C57243">
        <w:rPr>
          <w:rFonts w:cs="Arial"/>
          <w:b w:val="0"/>
          <w:szCs w:val="24"/>
          <w:lang w:val="es-AR"/>
        </w:rPr>
        <w:t>er</w:t>
      </w:r>
      <w:r w:rsidR="00367C83" w:rsidRPr="00C57243">
        <w:rPr>
          <w:rFonts w:cs="Arial"/>
          <w:b w:val="0"/>
          <w:szCs w:val="24"/>
          <w:lang w:val="es-AR"/>
        </w:rPr>
        <w:t>e de l</w:t>
      </w:r>
      <w:r w:rsidRPr="00C57243">
        <w:rPr>
          <w:rFonts w:cs="Arial"/>
          <w:b w:val="0"/>
          <w:szCs w:val="24"/>
          <w:lang w:val="es-AR"/>
        </w:rPr>
        <w:t>a ado</w:t>
      </w:r>
      <w:r w:rsidR="00367C83" w:rsidRPr="00C57243">
        <w:rPr>
          <w:rFonts w:cs="Arial"/>
          <w:b w:val="0"/>
          <w:szCs w:val="24"/>
          <w:lang w:val="es-AR"/>
        </w:rPr>
        <w:t xml:space="preserve">pción </w:t>
      </w:r>
      <w:r w:rsidRPr="00C57243">
        <w:rPr>
          <w:rFonts w:cs="Arial"/>
          <w:b w:val="0"/>
          <w:szCs w:val="24"/>
          <w:lang w:val="es-AR"/>
        </w:rPr>
        <w:t xml:space="preserve">de instrumentos de política comercial </w:t>
      </w:r>
      <w:r w:rsidR="00C71CC0" w:rsidRPr="00C57243">
        <w:rPr>
          <w:rFonts w:cs="Arial"/>
          <w:b w:val="0"/>
          <w:szCs w:val="24"/>
          <w:lang w:val="es-AR"/>
        </w:rPr>
        <w:t xml:space="preserve">e industrial </w:t>
      </w:r>
      <w:r w:rsidR="00175539" w:rsidRPr="00C57243">
        <w:rPr>
          <w:rFonts w:cs="Arial"/>
          <w:b w:val="0"/>
          <w:szCs w:val="24"/>
          <w:lang w:val="es-AR"/>
        </w:rPr>
        <w:t>que favorezcan las innovaciones en el proceso productivo regional</w:t>
      </w:r>
      <w:r w:rsidR="00847EC8" w:rsidRPr="00C57243">
        <w:rPr>
          <w:rFonts w:cs="Arial"/>
          <w:b w:val="0"/>
          <w:szCs w:val="24"/>
          <w:lang w:val="es-AR"/>
        </w:rPr>
        <w:t>.</w:t>
      </w:r>
    </w:p>
    <w:p w:rsidR="00F929D9" w:rsidRPr="00C57243" w:rsidRDefault="00F929D9" w:rsidP="00A36B1A">
      <w:pPr>
        <w:pStyle w:val="Corpodetexto21"/>
        <w:tabs>
          <w:tab w:val="left" w:pos="142"/>
        </w:tabs>
        <w:ind w:left="851" w:right="849"/>
        <w:rPr>
          <w:rFonts w:cs="Arial"/>
          <w:b w:val="0"/>
          <w:szCs w:val="24"/>
          <w:lang w:val="es-AR"/>
        </w:rPr>
      </w:pPr>
    </w:p>
    <w:p w:rsidR="00F929D9" w:rsidRPr="00C57243" w:rsidRDefault="00F929D9" w:rsidP="00A36B1A">
      <w:pPr>
        <w:pStyle w:val="Corpodetexto21"/>
        <w:tabs>
          <w:tab w:val="left" w:pos="142"/>
        </w:tabs>
        <w:ind w:left="851" w:right="849"/>
        <w:rPr>
          <w:rFonts w:cs="Arial"/>
          <w:b w:val="0"/>
          <w:szCs w:val="24"/>
          <w:lang w:val="es-AR"/>
        </w:rPr>
      </w:pPr>
      <w:r w:rsidRPr="00C57243">
        <w:rPr>
          <w:rFonts w:cs="Arial"/>
          <w:b w:val="0"/>
          <w:szCs w:val="24"/>
          <w:lang w:val="es-AR"/>
        </w:rPr>
        <w:t>Que una adecuada política arancelaria del MERCOSUR debe tener en cuenta la coyuntura económica internacional.</w:t>
      </w:r>
    </w:p>
    <w:p w:rsidR="00F929D9" w:rsidRPr="00C57243" w:rsidRDefault="00F929D9" w:rsidP="00A36B1A">
      <w:pPr>
        <w:pStyle w:val="Corpodetexto21"/>
        <w:tabs>
          <w:tab w:val="left" w:pos="142"/>
        </w:tabs>
        <w:ind w:left="851" w:right="849"/>
        <w:rPr>
          <w:rFonts w:cs="Arial"/>
          <w:b w:val="0"/>
          <w:szCs w:val="24"/>
          <w:lang w:val="es-AR"/>
        </w:rPr>
      </w:pPr>
    </w:p>
    <w:p w:rsidR="00F929D9" w:rsidRPr="00C57243" w:rsidRDefault="00F929D9" w:rsidP="00A36B1A">
      <w:pPr>
        <w:pStyle w:val="Corpodetexto21"/>
        <w:tabs>
          <w:tab w:val="left" w:pos="142"/>
        </w:tabs>
        <w:ind w:left="851" w:right="849"/>
        <w:rPr>
          <w:rFonts w:cs="Arial"/>
          <w:b w:val="0"/>
          <w:szCs w:val="24"/>
          <w:lang w:val="es-AR"/>
        </w:rPr>
      </w:pPr>
      <w:r w:rsidRPr="00C57243">
        <w:rPr>
          <w:rFonts w:cs="Arial"/>
          <w:b w:val="0"/>
          <w:szCs w:val="24"/>
          <w:lang w:val="es-AR"/>
        </w:rPr>
        <w:t>Que uno de los principales instrumentos para la conformación del Mercado Común es un Arancel Externo Común</w:t>
      </w:r>
      <w:r w:rsidR="002E3F67" w:rsidRPr="00C57243">
        <w:rPr>
          <w:rFonts w:cs="Arial"/>
          <w:b w:val="0"/>
          <w:szCs w:val="24"/>
          <w:lang w:val="es-AR"/>
        </w:rPr>
        <w:t xml:space="preserve"> (AEC)</w:t>
      </w:r>
      <w:r w:rsidRPr="00C57243">
        <w:rPr>
          <w:rFonts w:cs="Arial"/>
          <w:b w:val="0"/>
          <w:szCs w:val="24"/>
          <w:lang w:val="es-AR"/>
        </w:rPr>
        <w:t xml:space="preserve"> que incentive la competitividad externa del MERCOSUR.</w:t>
      </w:r>
    </w:p>
    <w:p w:rsidR="00F929D9" w:rsidRPr="00C57243" w:rsidRDefault="00F929D9" w:rsidP="00A36B1A">
      <w:pPr>
        <w:pStyle w:val="Corpodetexto21"/>
        <w:tabs>
          <w:tab w:val="left" w:pos="142"/>
        </w:tabs>
        <w:ind w:left="851" w:right="849"/>
        <w:rPr>
          <w:rFonts w:cs="Arial"/>
          <w:b w:val="0"/>
          <w:szCs w:val="24"/>
          <w:lang w:val="es-AR"/>
        </w:rPr>
      </w:pPr>
    </w:p>
    <w:p w:rsidR="00141D0F" w:rsidRPr="00C57243" w:rsidRDefault="00367C83" w:rsidP="00A36B1A">
      <w:pPr>
        <w:pStyle w:val="Ttulo2"/>
        <w:tabs>
          <w:tab w:val="left" w:pos="142"/>
        </w:tabs>
        <w:ind w:left="851" w:right="849"/>
        <w:rPr>
          <w:rFonts w:cs="Arial"/>
          <w:szCs w:val="24"/>
          <w:lang w:val="es-AR"/>
        </w:rPr>
      </w:pPr>
      <w:r w:rsidRPr="00C57243">
        <w:rPr>
          <w:rFonts w:cs="Arial"/>
          <w:szCs w:val="24"/>
          <w:lang w:val="es-AR"/>
        </w:rPr>
        <w:t>EL</w:t>
      </w:r>
      <w:r w:rsidR="00141D0F" w:rsidRPr="00C57243">
        <w:rPr>
          <w:rFonts w:cs="Arial"/>
          <w:szCs w:val="24"/>
          <w:lang w:val="es-AR"/>
        </w:rPr>
        <w:t xml:space="preserve"> CONSE</w:t>
      </w:r>
      <w:r w:rsidRPr="00C57243">
        <w:rPr>
          <w:rFonts w:cs="Arial"/>
          <w:szCs w:val="24"/>
          <w:lang w:val="es-AR"/>
        </w:rPr>
        <w:t>J</w:t>
      </w:r>
      <w:r w:rsidR="00141D0F" w:rsidRPr="00C57243">
        <w:rPr>
          <w:rFonts w:cs="Arial"/>
          <w:szCs w:val="24"/>
          <w:lang w:val="es-AR"/>
        </w:rPr>
        <w:t>O D</w:t>
      </w:r>
      <w:r w:rsidRPr="00C57243">
        <w:rPr>
          <w:rFonts w:cs="Arial"/>
          <w:szCs w:val="24"/>
          <w:lang w:val="es-AR"/>
        </w:rPr>
        <w:t>EL</w:t>
      </w:r>
      <w:r w:rsidR="00141D0F" w:rsidRPr="00C57243">
        <w:rPr>
          <w:rFonts w:cs="Arial"/>
          <w:szCs w:val="24"/>
          <w:lang w:val="es-AR"/>
        </w:rPr>
        <w:t xml:space="preserve"> MERCADO COM</w:t>
      </w:r>
      <w:r w:rsidR="00412FBD" w:rsidRPr="00C57243">
        <w:rPr>
          <w:rFonts w:cs="Arial"/>
          <w:szCs w:val="24"/>
          <w:lang w:val="es-AR"/>
        </w:rPr>
        <w:t>Ú</w:t>
      </w:r>
      <w:r w:rsidRPr="00C57243">
        <w:rPr>
          <w:rFonts w:cs="Arial"/>
          <w:szCs w:val="24"/>
          <w:lang w:val="es-AR"/>
        </w:rPr>
        <w:t>N</w:t>
      </w:r>
      <w:r w:rsidR="00141D0F" w:rsidRPr="00C57243">
        <w:rPr>
          <w:rFonts w:cs="Arial"/>
          <w:szCs w:val="24"/>
          <w:lang w:val="es-AR"/>
        </w:rPr>
        <w:t xml:space="preserve"> </w:t>
      </w:r>
    </w:p>
    <w:p w:rsidR="00A36B1A" w:rsidRPr="00C57243" w:rsidRDefault="00141D0F" w:rsidP="00A36B1A">
      <w:pPr>
        <w:pStyle w:val="Ttulo2"/>
        <w:tabs>
          <w:tab w:val="left" w:pos="142"/>
        </w:tabs>
        <w:ind w:left="851" w:right="849"/>
        <w:rPr>
          <w:rFonts w:cs="Arial"/>
          <w:szCs w:val="24"/>
          <w:lang w:val="es-AR"/>
        </w:rPr>
      </w:pPr>
      <w:r w:rsidRPr="00C57243">
        <w:rPr>
          <w:rFonts w:cs="Arial"/>
          <w:szCs w:val="24"/>
          <w:lang w:val="es-AR"/>
        </w:rPr>
        <w:t>DECIDE:</w:t>
      </w:r>
    </w:p>
    <w:p w:rsidR="00141D0F" w:rsidRPr="00C57243" w:rsidRDefault="00141D0F" w:rsidP="00A36B1A">
      <w:pPr>
        <w:pStyle w:val="Ttulo2"/>
        <w:tabs>
          <w:tab w:val="left" w:pos="142"/>
        </w:tabs>
        <w:ind w:right="849"/>
        <w:jc w:val="left"/>
        <w:rPr>
          <w:rFonts w:cs="Arial"/>
          <w:szCs w:val="24"/>
          <w:lang w:val="es-AR"/>
        </w:rPr>
      </w:pPr>
      <w:r w:rsidRPr="00C57243">
        <w:rPr>
          <w:rFonts w:cs="Arial"/>
          <w:szCs w:val="24"/>
          <w:lang w:val="es-AR"/>
        </w:rPr>
        <w:t xml:space="preserve"> </w:t>
      </w:r>
    </w:p>
    <w:p w:rsidR="00F929D9" w:rsidRPr="00C57243" w:rsidRDefault="00A36B1A" w:rsidP="00DA06D6">
      <w:pPr>
        <w:tabs>
          <w:tab w:val="left" w:pos="142"/>
        </w:tabs>
        <w:ind w:left="851" w:right="849"/>
        <w:jc w:val="both"/>
        <w:rPr>
          <w:rFonts w:ascii="Arial" w:hAnsi="Arial"/>
          <w:sz w:val="24"/>
          <w:lang w:val="es-AR"/>
        </w:rPr>
      </w:pPr>
      <w:r w:rsidRPr="00C57243">
        <w:rPr>
          <w:rFonts w:ascii="Arial" w:hAnsi="Arial"/>
          <w:sz w:val="24"/>
          <w:lang w:val="es-AR"/>
        </w:rPr>
        <w:t xml:space="preserve">Art. 1 </w:t>
      </w:r>
      <w:r w:rsidR="00DA06D6" w:rsidRPr="00C57243">
        <w:rPr>
          <w:rFonts w:ascii="Arial" w:hAnsi="Arial"/>
          <w:sz w:val="24"/>
          <w:lang w:val="es-AR"/>
        </w:rPr>
        <w:t>-</w:t>
      </w:r>
      <w:r w:rsidRPr="00C57243">
        <w:rPr>
          <w:rFonts w:ascii="Arial" w:hAnsi="Arial"/>
          <w:sz w:val="24"/>
          <w:lang w:val="es-AR"/>
        </w:rPr>
        <w:t xml:space="preserve"> </w:t>
      </w:r>
      <w:r w:rsidR="00F929D9" w:rsidRPr="00C57243">
        <w:rPr>
          <w:rFonts w:ascii="Arial" w:hAnsi="Arial"/>
          <w:sz w:val="24"/>
          <w:lang w:val="es-AR"/>
        </w:rPr>
        <w:t>Prorrogar hasta el 30 de junio de 2015 los plazos establecidos en</w:t>
      </w:r>
      <w:r w:rsidR="00DA06D6" w:rsidRPr="00C57243">
        <w:rPr>
          <w:rFonts w:ascii="Arial" w:hAnsi="Arial"/>
          <w:sz w:val="24"/>
          <w:lang w:val="es-AR"/>
        </w:rPr>
        <w:t xml:space="preserve"> el </w:t>
      </w:r>
      <w:r w:rsidR="009056D9" w:rsidRPr="00C57243">
        <w:rPr>
          <w:rFonts w:ascii="Arial" w:hAnsi="Arial"/>
          <w:sz w:val="24"/>
          <w:lang w:val="es-AR"/>
        </w:rPr>
        <w:t>A</w:t>
      </w:r>
      <w:r w:rsidR="00F929D9" w:rsidRPr="00C57243">
        <w:rPr>
          <w:rFonts w:ascii="Arial" w:hAnsi="Arial"/>
          <w:sz w:val="24"/>
          <w:lang w:val="es-AR"/>
        </w:rPr>
        <w:t>rtículo 11 de la Decisión CMC N° 39/11 “Acciones Puntuales en el Ámbito Arancelario por razones de desequilibrios comerciales derivados de la coyuntura económica internacional”</w:t>
      </w:r>
      <w:r w:rsidR="007D1232">
        <w:rPr>
          <w:rFonts w:ascii="Arial" w:hAnsi="Arial"/>
          <w:sz w:val="24"/>
          <w:lang w:val="es-AR"/>
        </w:rPr>
        <w:t>.</w:t>
      </w:r>
    </w:p>
    <w:p w:rsidR="009056D9" w:rsidRPr="00C57243" w:rsidRDefault="009056D9" w:rsidP="00A36B1A">
      <w:pPr>
        <w:tabs>
          <w:tab w:val="left" w:pos="142"/>
        </w:tabs>
        <w:ind w:left="851" w:right="849"/>
        <w:jc w:val="both"/>
        <w:rPr>
          <w:rFonts w:ascii="Arial" w:hAnsi="Arial"/>
          <w:sz w:val="24"/>
          <w:lang w:val="es-AR"/>
        </w:rPr>
      </w:pPr>
    </w:p>
    <w:p w:rsidR="009056D9" w:rsidRPr="00C57243" w:rsidRDefault="009056D9" w:rsidP="009056D9">
      <w:pPr>
        <w:tabs>
          <w:tab w:val="left" w:pos="142"/>
        </w:tabs>
        <w:ind w:left="851" w:right="849"/>
        <w:jc w:val="both"/>
        <w:rPr>
          <w:rFonts w:ascii="Arial" w:hAnsi="Arial"/>
          <w:sz w:val="24"/>
          <w:lang w:val="es-AR"/>
        </w:rPr>
      </w:pPr>
      <w:r w:rsidRPr="00C57243">
        <w:rPr>
          <w:rFonts w:ascii="Arial" w:hAnsi="Arial"/>
          <w:sz w:val="24"/>
          <w:lang w:val="es-AR"/>
        </w:rPr>
        <w:t>Art. 2</w:t>
      </w:r>
      <w:r w:rsidRPr="00C57243">
        <w:rPr>
          <w:rFonts w:ascii="Arial" w:hAnsi="Arial"/>
          <w:b/>
          <w:sz w:val="24"/>
          <w:lang w:val="es-AR"/>
        </w:rPr>
        <w:t xml:space="preserve"> </w:t>
      </w:r>
      <w:r w:rsidRPr="00C57243">
        <w:rPr>
          <w:lang w:val="es-AR"/>
        </w:rPr>
        <w:t>-</w:t>
      </w:r>
      <w:r w:rsidRPr="00C57243">
        <w:rPr>
          <w:rFonts w:ascii="Arial" w:hAnsi="Arial"/>
          <w:sz w:val="24"/>
          <w:lang w:val="es-AR"/>
        </w:rPr>
        <w:t xml:space="preserve"> Los Estados Partes podrán</w:t>
      </w:r>
      <w:r w:rsidR="00DA06D6" w:rsidRPr="00C57243">
        <w:rPr>
          <w:rFonts w:ascii="Arial" w:hAnsi="Arial"/>
          <w:sz w:val="24"/>
          <w:lang w:val="es-AR"/>
        </w:rPr>
        <w:t>,</w:t>
      </w:r>
      <w:r w:rsidRPr="00C57243">
        <w:rPr>
          <w:rFonts w:ascii="Arial" w:hAnsi="Arial"/>
          <w:sz w:val="24"/>
          <w:lang w:val="es-AR"/>
        </w:rPr>
        <w:t xml:space="preserve"> </w:t>
      </w:r>
      <w:r w:rsidR="00270080" w:rsidRPr="00C57243">
        <w:rPr>
          <w:rFonts w:ascii="Arial" w:hAnsi="Arial"/>
          <w:sz w:val="24"/>
          <w:lang w:val="es-AR"/>
        </w:rPr>
        <w:t>entre el 1 de enero de 2014 y</w:t>
      </w:r>
      <w:r w:rsidRPr="00C57243">
        <w:rPr>
          <w:rFonts w:ascii="Arial" w:hAnsi="Arial"/>
          <w:sz w:val="24"/>
          <w:lang w:val="es-AR"/>
        </w:rPr>
        <w:t xml:space="preserve"> el 30 de junio de 2015, con carácter excepcional y transitorio, mantener </w:t>
      </w:r>
      <w:r w:rsidR="00151D08" w:rsidRPr="00C57243">
        <w:rPr>
          <w:rFonts w:ascii="Arial" w:hAnsi="Arial"/>
          <w:sz w:val="24"/>
          <w:lang w:val="es-AR"/>
        </w:rPr>
        <w:t xml:space="preserve">los </w:t>
      </w:r>
      <w:bookmarkStart w:id="0" w:name="_GoBack"/>
      <w:bookmarkEnd w:id="0"/>
      <w:r w:rsidRPr="00C57243">
        <w:rPr>
          <w:rFonts w:ascii="Arial" w:hAnsi="Arial"/>
          <w:sz w:val="24"/>
          <w:lang w:val="es-AR"/>
        </w:rPr>
        <w:t>regímenes nacionales de importación de bienes de capital</w:t>
      </w:r>
      <w:r w:rsidR="000153B8" w:rsidRPr="00C57243">
        <w:rPr>
          <w:rFonts w:ascii="Arial" w:hAnsi="Arial"/>
          <w:sz w:val="24"/>
          <w:lang w:val="es-AR"/>
        </w:rPr>
        <w:t xml:space="preserve"> actualmente vigentes.</w:t>
      </w:r>
    </w:p>
    <w:p w:rsidR="009056D9" w:rsidRPr="00C57243" w:rsidRDefault="009056D9" w:rsidP="009056D9">
      <w:pPr>
        <w:tabs>
          <w:tab w:val="left" w:pos="142"/>
        </w:tabs>
        <w:ind w:left="851" w:right="849"/>
        <w:jc w:val="both"/>
        <w:rPr>
          <w:rFonts w:ascii="Arial" w:hAnsi="Arial"/>
          <w:sz w:val="24"/>
          <w:lang w:val="es-AR"/>
        </w:rPr>
      </w:pPr>
    </w:p>
    <w:p w:rsidR="009056D9" w:rsidRPr="00C57243" w:rsidRDefault="009056D9" w:rsidP="009056D9">
      <w:pPr>
        <w:tabs>
          <w:tab w:val="left" w:pos="142"/>
        </w:tabs>
        <w:ind w:left="851" w:right="849"/>
        <w:jc w:val="both"/>
        <w:rPr>
          <w:rFonts w:ascii="Arial" w:hAnsi="Arial"/>
          <w:sz w:val="24"/>
          <w:lang w:val="es-AR"/>
        </w:rPr>
      </w:pPr>
      <w:r w:rsidRPr="00C57243">
        <w:rPr>
          <w:rFonts w:ascii="Arial" w:hAnsi="Arial"/>
          <w:sz w:val="24"/>
          <w:lang w:val="es-AR"/>
        </w:rPr>
        <w:t>La República Bolivariana de Venezuela podrá hasta la mencionada fecha, con carácter excepcional y transitorio, aplicar alícuotas diferentes del AEC para bienes gravados en la N</w:t>
      </w:r>
      <w:r w:rsidR="002E3F67" w:rsidRPr="00C57243">
        <w:rPr>
          <w:rFonts w:ascii="Arial" w:hAnsi="Arial"/>
          <w:sz w:val="24"/>
          <w:lang w:val="es-AR"/>
        </w:rPr>
        <w:t xml:space="preserve">omenclatura </w:t>
      </w:r>
      <w:r w:rsidRPr="00C57243">
        <w:rPr>
          <w:rFonts w:ascii="Arial" w:hAnsi="Arial"/>
          <w:sz w:val="24"/>
          <w:lang w:val="es-AR"/>
        </w:rPr>
        <w:t>C</w:t>
      </w:r>
      <w:r w:rsidR="002E3F67" w:rsidRPr="00C57243">
        <w:rPr>
          <w:rFonts w:ascii="Arial" w:hAnsi="Arial"/>
          <w:sz w:val="24"/>
          <w:lang w:val="es-AR"/>
        </w:rPr>
        <w:t xml:space="preserve">omún del </w:t>
      </w:r>
      <w:r w:rsidRPr="00C57243">
        <w:rPr>
          <w:rFonts w:ascii="Arial" w:hAnsi="Arial"/>
          <w:sz w:val="24"/>
          <w:lang w:val="es-AR"/>
        </w:rPr>
        <w:t>M</w:t>
      </w:r>
      <w:r w:rsidR="002E3F67" w:rsidRPr="00C57243">
        <w:rPr>
          <w:rFonts w:ascii="Arial" w:hAnsi="Arial"/>
          <w:sz w:val="24"/>
          <w:lang w:val="es-AR"/>
        </w:rPr>
        <w:t>ERCOSUR</w:t>
      </w:r>
      <w:r w:rsidRPr="00C57243">
        <w:rPr>
          <w:rFonts w:ascii="Arial" w:hAnsi="Arial"/>
          <w:sz w:val="24"/>
          <w:lang w:val="es-AR"/>
        </w:rPr>
        <w:t xml:space="preserve"> </w:t>
      </w:r>
      <w:r w:rsidR="00B13910" w:rsidRPr="00C57243">
        <w:rPr>
          <w:rFonts w:ascii="Arial" w:hAnsi="Arial"/>
          <w:sz w:val="24"/>
          <w:lang w:val="es-AR"/>
        </w:rPr>
        <w:t xml:space="preserve">(NCM) </w:t>
      </w:r>
      <w:r w:rsidRPr="00C57243">
        <w:rPr>
          <w:rFonts w:ascii="Arial" w:hAnsi="Arial"/>
          <w:sz w:val="24"/>
          <w:lang w:val="es-AR"/>
        </w:rPr>
        <w:t>como bienes de capital.</w:t>
      </w:r>
    </w:p>
    <w:p w:rsidR="009056D9" w:rsidRPr="00C57243" w:rsidRDefault="009056D9" w:rsidP="00790A83">
      <w:pPr>
        <w:tabs>
          <w:tab w:val="left" w:pos="142"/>
        </w:tabs>
        <w:ind w:right="849"/>
        <w:jc w:val="both"/>
        <w:rPr>
          <w:rFonts w:ascii="Arial" w:hAnsi="Arial"/>
          <w:sz w:val="24"/>
          <w:lang w:val="es-AR"/>
        </w:rPr>
      </w:pPr>
    </w:p>
    <w:p w:rsidR="00A135EC" w:rsidRPr="00C57243" w:rsidRDefault="009056D9" w:rsidP="00A135EC">
      <w:pPr>
        <w:ind w:left="851" w:right="849"/>
        <w:jc w:val="both"/>
        <w:rPr>
          <w:rFonts w:ascii="Arial" w:hAnsi="Arial"/>
          <w:sz w:val="24"/>
          <w:lang w:val="es-AR"/>
        </w:rPr>
      </w:pPr>
      <w:r w:rsidRPr="00C57243">
        <w:rPr>
          <w:rFonts w:ascii="Arial" w:hAnsi="Arial"/>
          <w:sz w:val="24"/>
          <w:lang w:val="es-AR"/>
        </w:rPr>
        <w:t xml:space="preserve">Art. </w:t>
      </w:r>
      <w:r w:rsidR="00790A83" w:rsidRPr="00C57243">
        <w:rPr>
          <w:rFonts w:ascii="Arial" w:hAnsi="Arial"/>
          <w:sz w:val="24"/>
          <w:lang w:val="es-AR"/>
        </w:rPr>
        <w:t>3</w:t>
      </w:r>
      <w:r w:rsidRPr="00C57243">
        <w:rPr>
          <w:rFonts w:ascii="Arial" w:hAnsi="Arial"/>
          <w:sz w:val="24"/>
          <w:lang w:val="es-AR"/>
        </w:rPr>
        <w:t xml:space="preserve"> - </w:t>
      </w:r>
      <w:r w:rsidR="00A135EC" w:rsidRPr="00C57243">
        <w:rPr>
          <w:rFonts w:ascii="Arial" w:hAnsi="Arial"/>
          <w:sz w:val="24"/>
          <w:lang w:val="es-AR"/>
        </w:rPr>
        <w:t xml:space="preserve">Los Estados Partes aplicarán hasta el 30 de junio de 2015 las alícuotas del </w:t>
      </w:r>
      <w:r w:rsidR="004635B6" w:rsidRPr="00C57243">
        <w:rPr>
          <w:rFonts w:ascii="Arial" w:hAnsi="Arial"/>
          <w:sz w:val="24"/>
          <w:lang w:val="es-AR"/>
        </w:rPr>
        <w:t>AEC</w:t>
      </w:r>
      <w:r w:rsidR="00A135EC" w:rsidRPr="00C57243">
        <w:rPr>
          <w:rFonts w:ascii="Arial" w:hAnsi="Arial"/>
          <w:sz w:val="24"/>
          <w:lang w:val="es-AR"/>
        </w:rPr>
        <w:t xml:space="preserve"> según lo dispuesto en el listado de códigos NCM que consta como Anexo I y forma parte de la presente Decisión. </w:t>
      </w:r>
    </w:p>
    <w:p w:rsidR="00175539" w:rsidRPr="00C57243" w:rsidRDefault="00175539" w:rsidP="00A135EC">
      <w:pPr>
        <w:ind w:left="851" w:right="849"/>
        <w:jc w:val="both"/>
        <w:rPr>
          <w:rFonts w:ascii="Arial" w:hAnsi="Arial"/>
          <w:sz w:val="24"/>
          <w:lang w:val="es-AR"/>
        </w:rPr>
      </w:pPr>
    </w:p>
    <w:p w:rsidR="00A135EC" w:rsidRPr="00C57243" w:rsidRDefault="00A135EC" w:rsidP="00A135EC">
      <w:pPr>
        <w:ind w:left="851" w:right="849"/>
        <w:jc w:val="both"/>
        <w:rPr>
          <w:rFonts w:ascii="Arial" w:hAnsi="Arial"/>
          <w:sz w:val="24"/>
          <w:lang w:val="es-AR"/>
        </w:rPr>
      </w:pPr>
      <w:r w:rsidRPr="00C57243">
        <w:rPr>
          <w:rFonts w:ascii="Arial" w:hAnsi="Arial"/>
          <w:sz w:val="24"/>
          <w:lang w:val="es-AR"/>
        </w:rPr>
        <w:t>Paraguay podrá mantener los niveles vigentes de sus aranceles nacionales para los productos establecidos en el Anexo</w:t>
      </w:r>
      <w:r w:rsidR="00EC76EF" w:rsidRPr="00C57243">
        <w:rPr>
          <w:rFonts w:ascii="Arial" w:hAnsi="Arial"/>
          <w:sz w:val="24"/>
          <w:lang w:val="es-AR"/>
        </w:rPr>
        <w:t xml:space="preserve"> I</w:t>
      </w:r>
      <w:r w:rsidRPr="00C57243">
        <w:rPr>
          <w:rFonts w:ascii="Arial" w:hAnsi="Arial"/>
          <w:sz w:val="24"/>
          <w:lang w:val="es-AR"/>
        </w:rPr>
        <w:t xml:space="preserve"> de la presente Decisión.</w:t>
      </w:r>
    </w:p>
    <w:p w:rsidR="00A135EC" w:rsidRPr="00C57243" w:rsidRDefault="00A135EC" w:rsidP="00A135EC">
      <w:pPr>
        <w:tabs>
          <w:tab w:val="left" w:pos="142"/>
        </w:tabs>
        <w:ind w:left="851" w:right="849"/>
        <w:jc w:val="both"/>
        <w:rPr>
          <w:rFonts w:ascii="Arial" w:hAnsi="Arial"/>
          <w:sz w:val="24"/>
          <w:lang w:val="es-AR"/>
        </w:rPr>
      </w:pPr>
    </w:p>
    <w:p w:rsidR="00A135EC" w:rsidRPr="00C57243" w:rsidRDefault="00A135EC" w:rsidP="00A135EC">
      <w:pPr>
        <w:tabs>
          <w:tab w:val="left" w:pos="142"/>
        </w:tabs>
        <w:ind w:left="851" w:right="849"/>
        <w:jc w:val="both"/>
        <w:rPr>
          <w:rFonts w:ascii="Arial" w:hAnsi="Arial"/>
          <w:sz w:val="24"/>
          <w:lang w:val="es-AR"/>
        </w:rPr>
      </w:pPr>
      <w:r w:rsidRPr="00C57243">
        <w:rPr>
          <w:rFonts w:ascii="Arial" w:hAnsi="Arial"/>
          <w:sz w:val="24"/>
          <w:lang w:val="es-AR"/>
        </w:rPr>
        <w:lastRenderedPageBreak/>
        <w:t xml:space="preserve">Art. </w:t>
      </w:r>
      <w:r w:rsidR="00790A83" w:rsidRPr="00C57243">
        <w:rPr>
          <w:rFonts w:ascii="Arial" w:hAnsi="Arial"/>
          <w:sz w:val="24"/>
          <w:lang w:val="es-AR"/>
        </w:rPr>
        <w:t>4</w:t>
      </w:r>
      <w:r w:rsidRPr="00C57243">
        <w:rPr>
          <w:rFonts w:ascii="Arial" w:hAnsi="Arial"/>
          <w:sz w:val="24"/>
          <w:lang w:val="es-AR"/>
        </w:rPr>
        <w:t xml:space="preserve"> </w:t>
      </w:r>
      <w:r w:rsidR="00EC76EF" w:rsidRPr="00C57243">
        <w:rPr>
          <w:rFonts w:ascii="Arial" w:hAnsi="Arial"/>
          <w:sz w:val="24"/>
          <w:lang w:val="es-AR"/>
        </w:rPr>
        <w:t>-</w:t>
      </w:r>
      <w:r w:rsidRPr="00C57243">
        <w:rPr>
          <w:rFonts w:ascii="Arial" w:hAnsi="Arial"/>
          <w:sz w:val="24"/>
          <w:lang w:val="es-AR"/>
        </w:rPr>
        <w:t xml:space="preserve"> Los Estados Partes aplicarán hasta el 30 de junio de 2015 las alícuotas del </w:t>
      </w:r>
      <w:r w:rsidR="004635B6" w:rsidRPr="00C57243">
        <w:rPr>
          <w:rFonts w:ascii="Arial" w:hAnsi="Arial"/>
          <w:sz w:val="24"/>
          <w:lang w:val="es-AR"/>
        </w:rPr>
        <w:t>AEC</w:t>
      </w:r>
      <w:r w:rsidRPr="00C57243">
        <w:rPr>
          <w:rFonts w:ascii="Arial" w:hAnsi="Arial"/>
          <w:sz w:val="24"/>
          <w:lang w:val="es-AR"/>
        </w:rPr>
        <w:t xml:space="preserve"> según lo dispuesto en el listado de códigos NCM que consta como Anexo</w:t>
      </w:r>
      <w:r w:rsidR="00730547" w:rsidRPr="00C57243">
        <w:rPr>
          <w:rFonts w:ascii="Arial" w:hAnsi="Arial"/>
          <w:sz w:val="24"/>
          <w:lang w:val="es-AR"/>
        </w:rPr>
        <w:t xml:space="preserve"> II</w:t>
      </w:r>
      <w:r w:rsidRPr="00C57243">
        <w:rPr>
          <w:rFonts w:ascii="Arial" w:hAnsi="Arial"/>
          <w:sz w:val="24"/>
          <w:lang w:val="es-AR"/>
        </w:rPr>
        <w:t xml:space="preserve"> y forma parte de la presente Decisión. </w:t>
      </w:r>
    </w:p>
    <w:p w:rsidR="00A135EC" w:rsidRPr="00C57243" w:rsidRDefault="00A135EC" w:rsidP="00A135EC">
      <w:pPr>
        <w:tabs>
          <w:tab w:val="left" w:pos="142"/>
        </w:tabs>
        <w:ind w:left="851" w:right="849"/>
        <w:jc w:val="both"/>
        <w:rPr>
          <w:rFonts w:ascii="Arial" w:hAnsi="Arial"/>
          <w:sz w:val="24"/>
          <w:lang w:val="es-AR"/>
        </w:rPr>
      </w:pPr>
    </w:p>
    <w:p w:rsidR="009056D9" w:rsidRPr="00C57243" w:rsidRDefault="00A135EC" w:rsidP="00A135EC">
      <w:pPr>
        <w:tabs>
          <w:tab w:val="left" w:pos="142"/>
        </w:tabs>
        <w:ind w:left="851" w:right="849"/>
        <w:jc w:val="both"/>
        <w:rPr>
          <w:rFonts w:ascii="Arial" w:hAnsi="Arial"/>
          <w:sz w:val="24"/>
          <w:lang w:val="es-AR"/>
        </w:rPr>
      </w:pPr>
      <w:r w:rsidRPr="00C57243">
        <w:rPr>
          <w:rFonts w:ascii="Arial" w:hAnsi="Arial"/>
          <w:sz w:val="24"/>
          <w:lang w:val="es-AR"/>
        </w:rPr>
        <w:t xml:space="preserve">Paraguay </w:t>
      </w:r>
      <w:r w:rsidR="001A7AE2" w:rsidRPr="00C57243">
        <w:rPr>
          <w:rFonts w:ascii="Arial" w:hAnsi="Arial"/>
          <w:sz w:val="24"/>
          <w:lang w:val="es-AR"/>
        </w:rPr>
        <w:t>podrá</w:t>
      </w:r>
      <w:r w:rsidRPr="00C57243">
        <w:rPr>
          <w:rFonts w:ascii="Arial" w:hAnsi="Arial"/>
          <w:sz w:val="24"/>
          <w:lang w:val="es-AR"/>
        </w:rPr>
        <w:t xml:space="preserve"> mantener sus niveles actuales de arancel de importación de los productos clasificados en los códigos arancelarios listados en el Anexo II de la presente Decisión.</w:t>
      </w:r>
    </w:p>
    <w:p w:rsidR="00A135EC" w:rsidRPr="00C57243" w:rsidRDefault="00A135EC" w:rsidP="00790A83">
      <w:pPr>
        <w:tabs>
          <w:tab w:val="left" w:pos="142"/>
        </w:tabs>
        <w:ind w:right="849"/>
        <w:jc w:val="both"/>
        <w:rPr>
          <w:lang w:val="es-ES"/>
        </w:rPr>
      </w:pPr>
    </w:p>
    <w:p w:rsidR="00A135EC" w:rsidRPr="00C57243" w:rsidRDefault="00A135EC" w:rsidP="00A135EC">
      <w:pPr>
        <w:tabs>
          <w:tab w:val="left" w:pos="142"/>
        </w:tabs>
        <w:ind w:left="851" w:right="849"/>
        <w:jc w:val="both"/>
        <w:rPr>
          <w:rFonts w:ascii="Arial" w:hAnsi="Arial"/>
          <w:sz w:val="24"/>
          <w:lang w:val="es-AR"/>
        </w:rPr>
      </w:pPr>
      <w:r w:rsidRPr="00C57243">
        <w:rPr>
          <w:rFonts w:ascii="Arial" w:hAnsi="Arial"/>
          <w:sz w:val="24"/>
          <w:lang w:val="es-AR"/>
        </w:rPr>
        <w:t>Art.</w:t>
      </w:r>
      <w:r w:rsidR="00790A83" w:rsidRPr="00C57243">
        <w:rPr>
          <w:rFonts w:ascii="Arial" w:hAnsi="Arial"/>
          <w:sz w:val="24"/>
          <w:lang w:val="es-AR"/>
        </w:rPr>
        <w:t xml:space="preserve"> 5</w:t>
      </w:r>
      <w:r w:rsidRPr="00C57243">
        <w:rPr>
          <w:rFonts w:ascii="Arial" w:hAnsi="Arial"/>
          <w:sz w:val="24"/>
          <w:lang w:val="es-AR"/>
        </w:rPr>
        <w:t xml:space="preserve"> </w:t>
      </w:r>
      <w:r w:rsidR="00FB1395" w:rsidRPr="00C57243">
        <w:rPr>
          <w:rFonts w:ascii="Arial" w:hAnsi="Arial"/>
          <w:sz w:val="24"/>
          <w:lang w:val="es-AR"/>
        </w:rPr>
        <w:t>-</w:t>
      </w:r>
      <w:r w:rsidRPr="00C57243">
        <w:rPr>
          <w:rFonts w:ascii="Arial" w:hAnsi="Arial"/>
          <w:sz w:val="24"/>
          <w:lang w:val="es-AR"/>
        </w:rPr>
        <w:t xml:space="preserve"> Autorizar hasta el 30 de junio de 2015 a los Estados Partes a aplicar alícuotas distintas del </w:t>
      </w:r>
      <w:r w:rsidR="00C645B0" w:rsidRPr="00C57243">
        <w:rPr>
          <w:rFonts w:ascii="Arial" w:hAnsi="Arial"/>
          <w:sz w:val="24"/>
          <w:lang w:val="es-AR"/>
        </w:rPr>
        <w:t>AEC</w:t>
      </w:r>
      <w:r w:rsidRPr="00C57243">
        <w:rPr>
          <w:rFonts w:ascii="Arial" w:hAnsi="Arial"/>
          <w:sz w:val="24"/>
          <w:lang w:val="es-AR"/>
        </w:rPr>
        <w:t>, hasta el nivel consolidado en la Organización Mundial de</w:t>
      </w:r>
      <w:r w:rsidR="007D1232">
        <w:rPr>
          <w:rFonts w:ascii="Arial" w:hAnsi="Arial"/>
          <w:sz w:val="24"/>
          <w:lang w:val="es-AR"/>
        </w:rPr>
        <w:t>l</w:t>
      </w:r>
      <w:r w:rsidRPr="00C57243">
        <w:rPr>
          <w:rFonts w:ascii="Arial" w:hAnsi="Arial"/>
          <w:sz w:val="24"/>
          <w:lang w:val="es-AR"/>
        </w:rPr>
        <w:t xml:space="preserve"> Comercio, para los códigos NCM que constan en el Anexo III</w:t>
      </w:r>
      <w:r w:rsidR="009B6FFE" w:rsidRPr="00C57243">
        <w:rPr>
          <w:rFonts w:ascii="Arial" w:hAnsi="Arial"/>
          <w:sz w:val="24"/>
          <w:lang w:val="es-AR"/>
        </w:rPr>
        <w:t>, el cual</w:t>
      </w:r>
      <w:r w:rsidRPr="00C57243">
        <w:rPr>
          <w:rFonts w:ascii="Arial" w:hAnsi="Arial"/>
          <w:sz w:val="24"/>
          <w:lang w:val="es-AR"/>
        </w:rPr>
        <w:t xml:space="preserve"> forma parte de la presente Decisión.</w:t>
      </w:r>
    </w:p>
    <w:p w:rsidR="00A135EC" w:rsidRPr="00C57243" w:rsidRDefault="00A135EC" w:rsidP="00A135EC">
      <w:pPr>
        <w:tabs>
          <w:tab w:val="left" w:pos="142"/>
        </w:tabs>
        <w:ind w:left="851" w:right="849"/>
        <w:jc w:val="both"/>
        <w:rPr>
          <w:rFonts w:ascii="Arial" w:hAnsi="Arial"/>
          <w:sz w:val="24"/>
          <w:lang w:val="es-AR"/>
        </w:rPr>
      </w:pPr>
    </w:p>
    <w:p w:rsidR="00A135EC" w:rsidRPr="00C57243" w:rsidRDefault="00A135EC" w:rsidP="00A135EC">
      <w:pPr>
        <w:tabs>
          <w:tab w:val="left" w:pos="142"/>
        </w:tabs>
        <w:ind w:left="851" w:right="849"/>
        <w:jc w:val="both"/>
        <w:rPr>
          <w:rFonts w:ascii="Arial" w:hAnsi="Arial"/>
          <w:sz w:val="24"/>
          <w:lang w:val="es-AR"/>
        </w:rPr>
      </w:pPr>
      <w:r w:rsidRPr="00C57243">
        <w:rPr>
          <w:rFonts w:ascii="Arial" w:hAnsi="Arial"/>
          <w:sz w:val="24"/>
          <w:lang w:val="es-AR"/>
        </w:rPr>
        <w:t>Paraguay podrá mantener sus niveles actuales de arancel de importación de los productos clasificados en los códigos arancelarios listados en el Anexo</w:t>
      </w:r>
      <w:r w:rsidR="00DA1B58" w:rsidRPr="00C57243">
        <w:rPr>
          <w:rFonts w:ascii="Arial" w:hAnsi="Arial"/>
          <w:sz w:val="24"/>
          <w:lang w:val="es-AR"/>
        </w:rPr>
        <w:t xml:space="preserve"> III</w:t>
      </w:r>
      <w:r w:rsidRPr="00C57243">
        <w:rPr>
          <w:rFonts w:ascii="Arial" w:hAnsi="Arial"/>
          <w:sz w:val="24"/>
          <w:lang w:val="es-AR"/>
        </w:rPr>
        <w:t xml:space="preserve"> de la presente Decisión.</w:t>
      </w:r>
    </w:p>
    <w:p w:rsidR="00175539" w:rsidRPr="00C57243" w:rsidRDefault="00175539" w:rsidP="00175539">
      <w:pPr>
        <w:tabs>
          <w:tab w:val="left" w:pos="142"/>
        </w:tabs>
        <w:ind w:right="849"/>
        <w:jc w:val="both"/>
        <w:rPr>
          <w:rFonts w:ascii="Arial" w:hAnsi="Arial"/>
          <w:sz w:val="24"/>
          <w:lang w:val="es-AR"/>
        </w:rPr>
      </w:pPr>
    </w:p>
    <w:p w:rsidR="00175539" w:rsidRPr="00C57243" w:rsidRDefault="00175539" w:rsidP="00175539">
      <w:pPr>
        <w:tabs>
          <w:tab w:val="left" w:pos="142"/>
        </w:tabs>
        <w:ind w:left="851" w:right="849"/>
        <w:jc w:val="both"/>
        <w:rPr>
          <w:rFonts w:ascii="Arial" w:hAnsi="Arial"/>
          <w:sz w:val="24"/>
          <w:lang w:val="es-AR"/>
        </w:rPr>
      </w:pPr>
      <w:r w:rsidRPr="00C57243">
        <w:rPr>
          <w:rFonts w:ascii="Arial" w:hAnsi="Arial"/>
          <w:sz w:val="24"/>
          <w:lang w:val="es-AR"/>
        </w:rPr>
        <w:t xml:space="preserve">Art. </w:t>
      </w:r>
      <w:r w:rsidR="00C00FF5" w:rsidRPr="00C57243">
        <w:rPr>
          <w:rFonts w:ascii="Arial" w:hAnsi="Arial"/>
          <w:sz w:val="24"/>
          <w:lang w:val="es-AR"/>
        </w:rPr>
        <w:t>6</w:t>
      </w:r>
      <w:r w:rsidRPr="00C57243">
        <w:rPr>
          <w:rFonts w:ascii="Arial" w:hAnsi="Arial"/>
          <w:sz w:val="24"/>
          <w:lang w:val="es-AR"/>
        </w:rPr>
        <w:t xml:space="preserve"> - Las modificaciones del </w:t>
      </w:r>
      <w:r w:rsidR="00C645B0" w:rsidRPr="00C57243">
        <w:rPr>
          <w:rFonts w:ascii="Arial" w:hAnsi="Arial"/>
          <w:sz w:val="24"/>
          <w:lang w:val="es-AR"/>
        </w:rPr>
        <w:t>AEC</w:t>
      </w:r>
      <w:r w:rsidRPr="00C57243">
        <w:rPr>
          <w:rFonts w:ascii="Arial" w:hAnsi="Arial"/>
          <w:sz w:val="24"/>
          <w:lang w:val="es-AR"/>
        </w:rPr>
        <w:t xml:space="preserve"> </w:t>
      </w:r>
      <w:r w:rsidR="00730547" w:rsidRPr="00C57243">
        <w:rPr>
          <w:rFonts w:ascii="Arial" w:hAnsi="Arial"/>
          <w:sz w:val="24"/>
          <w:lang w:val="es-AR"/>
        </w:rPr>
        <w:t>menciona</w:t>
      </w:r>
      <w:r w:rsidRPr="00C57243">
        <w:rPr>
          <w:rFonts w:ascii="Arial" w:hAnsi="Arial"/>
          <w:sz w:val="24"/>
          <w:lang w:val="es-AR"/>
        </w:rPr>
        <w:t xml:space="preserve">das </w:t>
      </w:r>
      <w:r w:rsidR="00730547" w:rsidRPr="00C57243">
        <w:rPr>
          <w:rFonts w:ascii="Arial" w:hAnsi="Arial"/>
          <w:sz w:val="24"/>
          <w:lang w:val="es-AR"/>
        </w:rPr>
        <w:t xml:space="preserve">en los Artículos 3, 4 y 5 de </w:t>
      </w:r>
      <w:r w:rsidRPr="00C57243">
        <w:rPr>
          <w:rFonts w:ascii="Arial" w:hAnsi="Arial"/>
          <w:sz w:val="24"/>
          <w:lang w:val="es-AR"/>
        </w:rPr>
        <w:t xml:space="preserve">la presente Decisión tendrán vigencia a partir del 01/I/2015, debiendo los Estados Partes asegurar su incorporación a sus respectivos ordenamientos jurídicos nacionales antes de esa fecha. </w:t>
      </w:r>
    </w:p>
    <w:p w:rsidR="00175539" w:rsidRPr="00C57243" w:rsidRDefault="00175539" w:rsidP="00175539">
      <w:pPr>
        <w:tabs>
          <w:tab w:val="left" w:pos="142"/>
        </w:tabs>
        <w:ind w:left="851" w:right="849"/>
        <w:jc w:val="both"/>
        <w:rPr>
          <w:rFonts w:ascii="Arial" w:hAnsi="Arial"/>
          <w:sz w:val="24"/>
          <w:lang w:val="es-AR"/>
        </w:rPr>
      </w:pPr>
    </w:p>
    <w:p w:rsidR="002E71BF" w:rsidRPr="00C57243" w:rsidRDefault="00175539" w:rsidP="002E71BF">
      <w:pPr>
        <w:tabs>
          <w:tab w:val="left" w:pos="142"/>
        </w:tabs>
        <w:ind w:left="851" w:right="849"/>
        <w:jc w:val="both"/>
        <w:rPr>
          <w:rFonts w:ascii="Arial" w:hAnsi="Arial"/>
          <w:sz w:val="24"/>
          <w:lang w:val="es-AR"/>
        </w:rPr>
      </w:pPr>
      <w:r w:rsidRPr="00C57243">
        <w:rPr>
          <w:rFonts w:ascii="Arial" w:hAnsi="Arial"/>
          <w:sz w:val="24"/>
          <w:lang w:val="es-AR"/>
        </w:rPr>
        <w:t>La adecuación de la República Bolivariana de Venezuela a lo dispuesto en esta Decisión será definida en función de los términos y plazos del cronograma definido por la normativa vigente.</w:t>
      </w:r>
      <w:r w:rsidR="002E71BF" w:rsidRPr="00C57243">
        <w:rPr>
          <w:rFonts w:ascii="Arial" w:hAnsi="Arial"/>
          <w:sz w:val="24"/>
          <w:lang w:val="es-AR"/>
        </w:rPr>
        <w:t xml:space="preserve"> </w:t>
      </w:r>
      <w:r w:rsidR="00C4692F">
        <w:rPr>
          <w:rFonts w:ascii="Arial" w:hAnsi="Arial"/>
          <w:sz w:val="24"/>
          <w:lang w:val="es-AR"/>
        </w:rPr>
        <w:t xml:space="preserve">Esta incorporación no afectara la vigencia </w:t>
      </w:r>
      <w:proofErr w:type="gramStart"/>
      <w:r w:rsidR="00C4692F">
        <w:rPr>
          <w:rFonts w:ascii="Arial" w:hAnsi="Arial"/>
          <w:sz w:val="24"/>
          <w:lang w:val="es-AR"/>
        </w:rPr>
        <w:t>simultanea</w:t>
      </w:r>
      <w:proofErr w:type="gramEnd"/>
      <w:r w:rsidR="00C4692F">
        <w:rPr>
          <w:rFonts w:ascii="Arial" w:hAnsi="Arial"/>
          <w:sz w:val="24"/>
          <w:lang w:val="es-AR"/>
        </w:rPr>
        <w:t xml:space="preserve"> de la presente Decisión para los demás Estados Partes, conforme al Artículo 40 del Protocolo de </w:t>
      </w:r>
      <w:proofErr w:type="spellStart"/>
      <w:r w:rsidR="00C4692F">
        <w:rPr>
          <w:rFonts w:ascii="Arial" w:hAnsi="Arial"/>
          <w:sz w:val="24"/>
          <w:lang w:val="es-AR"/>
        </w:rPr>
        <w:t>Ouro</w:t>
      </w:r>
      <w:proofErr w:type="spellEnd"/>
      <w:r w:rsidR="00C4692F">
        <w:rPr>
          <w:rFonts w:ascii="Arial" w:hAnsi="Arial"/>
          <w:sz w:val="24"/>
          <w:lang w:val="es-AR"/>
        </w:rPr>
        <w:t xml:space="preserve"> </w:t>
      </w:r>
      <w:proofErr w:type="spellStart"/>
      <w:r w:rsidR="00C4692F">
        <w:rPr>
          <w:rFonts w:ascii="Arial" w:hAnsi="Arial"/>
          <w:sz w:val="24"/>
          <w:lang w:val="es-AR"/>
        </w:rPr>
        <w:t>Preto</w:t>
      </w:r>
      <w:proofErr w:type="spellEnd"/>
      <w:r w:rsidR="00C4692F">
        <w:rPr>
          <w:rFonts w:ascii="Arial" w:hAnsi="Arial"/>
          <w:sz w:val="24"/>
          <w:lang w:val="es-AR"/>
        </w:rPr>
        <w:t xml:space="preserve">. </w:t>
      </w:r>
    </w:p>
    <w:p w:rsidR="002E71BF" w:rsidRPr="00C57243" w:rsidRDefault="002E71BF" w:rsidP="002E71BF">
      <w:pPr>
        <w:tabs>
          <w:tab w:val="left" w:pos="142"/>
        </w:tabs>
        <w:ind w:left="851" w:right="849"/>
        <w:jc w:val="both"/>
        <w:rPr>
          <w:rFonts w:ascii="Arial" w:hAnsi="Arial"/>
          <w:sz w:val="24"/>
          <w:lang w:val="es-AR"/>
        </w:rPr>
      </w:pPr>
    </w:p>
    <w:p w:rsidR="008F6634" w:rsidRPr="00C57243" w:rsidRDefault="008F6634" w:rsidP="002E71BF">
      <w:pPr>
        <w:tabs>
          <w:tab w:val="left" w:pos="142"/>
        </w:tabs>
        <w:ind w:left="851" w:right="849"/>
        <w:jc w:val="both"/>
        <w:rPr>
          <w:rFonts w:ascii="Arial" w:hAnsi="Arial"/>
          <w:sz w:val="24"/>
          <w:lang w:val="es-AR"/>
        </w:rPr>
      </w:pPr>
    </w:p>
    <w:p w:rsidR="002E71BF" w:rsidRPr="00C57243" w:rsidRDefault="002E71BF" w:rsidP="008F6634">
      <w:pPr>
        <w:pStyle w:val="Ttulo1"/>
        <w:ind w:right="849"/>
        <w:jc w:val="right"/>
        <w:rPr>
          <w:rFonts w:ascii="Arial-BoldMT" w:hAnsi="Arial-BoldMT"/>
        </w:rPr>
      </w:pPr>
      <w:r w:rsidRPr="00C57243">
        <w:rPr>
          <w:rFonts w:ascii="Arial-BoldMT" w:hAnsi="Arial-BoldMT"/>
        </w:rPr>
        <w:t xml:space="preserve">XLVII CMC – Paraná, </w:t>
      </w:r>
      <w:r w:rsidR="008F6634" w:rsidRPr="00C57243">
        <w:rPr>
          <w:rFonts w:ascii="Arial-BoldMT" w:hAnsi="Arial-BoldMT"/>
        </w:rPr>
        <w:t>16</w:t>
      </w:r>
      <w:r w:rsidRPr="00C57243">
        <w:rPr>
          <w:rFonts w:ascii="Arial-BoldMT" w:hAnsi="Arial-BoldMT"/>
        </w:rPr>
        <w:t>/XII/2014</w:t>
      </w:r>
      <w:r w:rsidR="008F22C1" w:rsidRPr="00C57243">
        <w:rPr>
          <w:rFonts w:ascii="Arial-BoldMT" w:hAnsi="Arial-BoldMT"/>
        </w:rPr>
        <w:t>.</w:t>
      </w:r>
    </w:p>
    <w:p w:rsidR="00790A83" w:rsidRPr="00C57243" w:rsidRDefault="00790A83">
      <w:pPr>
        <w:rPr>
          <w:rFonts w:ascii="Arial" w:hAnsi="Arial"/>
          <w:b/>
        </w:rPr>
      </w:pPr>
      <w:r w:rsidRPr="00C57243">
        <w:rPr>
          <w:rFonts w:ascii="Arial" w:hAnsi="Arial"/>
          <w:b/>
        </w:rPr>
        <w:br w:type="page"/>
      </w:r>
    </w:p>
    <w:p w:rsidR="009056D9" w:rsidRPr="00C57243" w:rsidRDefault="009056D9" w:rsidP="002E71BF">
      <w:pPr>
        <w:rPr>
          <w:rFonts w:ascii="Arial" w:hAnsi="Arial"/>
          <w:b/>
        </w:rPr>
      </w:pPr>
    </w:p>
    <w:p w:rsidR="009056D9" w:rsidRPr="00C57243" w:rsidRDefault="009056D9" w:rsidP="009056D9">
      <w:pPr>
        <w:rPr>
          <w:rFonts w:ascii="Arial" w:hAnsi="Arial"/>
          <w:b/>
        </w:rPr>
      </w:pPr>
    </w:p>
    <w:p w:rsidR="009056D9" w:rsidRPr="00C57243" w:rsidRDefault="009056D9" w:rsidP="009056D9">
      <w:pPr>
        <w:jc w:val="center"/>
        <w:rPr>
          <w:rFonts w:ascii="Arial" w:hAnsi="Arial"/>
          <w:b/>
        </w:rPr>
      </w:pPr>
      <w:r w:rsidRPr="00C57243">
        <w:rPr>
          <w:rFonts w:ascii="Arial" w:hAnsi="Arial"/>
          <w:b/>
        </w:rPr>
        <w:t>ANEXO</w:t>
      </w:r>
      <w:r w:rsidR="00A135EC" w:rsidRPr="00C57243">
        <w:rPr>
          <w:rFonts w:ascii="Arial" w:hAnsi="Arial"/>
          <w:b/>
        </w:rPr>
        <w:t xml:space="preserve"> I </w:t>
      </w:r>
    </w:p>
    <w:p w:rsidR="009056D9" w:rsidRPr="00C57243" w:rsidRDefault="009056D9" w:rsidP="009056D9">
      <w:pPr>
        <w:jc w:val="center"/>
        <w:rPr>
          <w:rFonts w:ascii="Arial" w:hAnsi="Arial"/>
          <w:b/>
        </w:rPr>
      </w:pPr>
    </w:p>
    <w:p w:rsidR="009056D9" w:rsidRPr="00C57243" w:rsidRDefault="009056D9" w:rsidP="009056D9">
      <w:pPr>
        <w:rPr>
          <w:rFonts w:ascii="Arial" w:hAnsi="Arial"/>
        </w:rPr>
      </w:pPr>
    </w:p>
    <w:tbl>
      <w:tblPr>
        <w:tblW w:w="9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10"/>
        <w:gridCol w:w="7080"/>
        <w:gridCol w:w="820"/>
      </w:tblGrid>
      <w:tr w:rsidR="009056D9" w:rsidRPr="00C57243" w:rsidTr="003E5718">
        <w:tc>
          <w:tcPr>
            <w:tcW w:w="1510" w:type="dxa"/>
          </w:tcPr>
          <w:p w:rsidR="009056D9" w:rsidRPr="00C57243" w:rsidRDefault="009056D9" w:rsidP="003E5718">
            <w:pPr>
              <w:pStyle w:val="Ttulo1"/>
              <w:spacing w:before="120" w:after="120"/>
              <w:rPr>
                <w:lang w:val="es-ES"/>
              </w:rPr>
            </w:pPr>
            <w:r w:rsidRPr="00C57243">
              <w:rPr>
                <w:lang w:val="es-ES"/>
              </w:rPr>
              <w:t>NCM</w:t>
            </w:r>
          </w:p>
        </w:tc>
        <w:tc>
          <w:tcPr>
            <w:tcW w:w="7080" w:type="dxa"/>
          </w:tcPr>
          <w:p w:rsidR="009056D9" w:rsidRPr="00C57243" w:rsidRDefault="009056D9" w:rsidP="003E5718">
            <w:pPr>
              <w:pStyle w:val="Ttulo1"/>
              <w:spacing w:before="120" w:after="120"/>
              <w:rPr>
                <w:lang w:val="es-ES"/>
              </w:rPr>
            </w:pPr>
            <w:r w:rsidRPr="00C57243">
              <w:rPr>
                <w:lang w:val="es-ES"/>
              </w:rPr>
              <w:t>DESCRIPCIÓN</w:t>
            </w:r>
          </w:p>
        </w:tc>
        <w:tc>
          <w:tcPr>
            <w:tcW w:w="820" w:type="dxa"/>
          </w:tcPr>
          <w:p w:rsidR="009056D9" w:rsidRPr="00C57243" w:rsidRDefault="009056D9" w:rsidP="003E5718">
            <w:pPr>
              <w:pStyle w:val="Ttulo1"/>
              <w:spacing w:before="120" w:after="120"/>
              <w:rPr>
                <w:lang w:val="es-ES"/>
              </w:rPr>
            </w:pPr>
            <w:r w:rsidRPr="00C57243">
              <w:rPr>
                <w:lang w:val="es-ES"/>
              </w:rPr>
              <w:t>AEC</w:t>
            </w:r>
          </w:p>
        </w:tc>
      </w:tr>
      <w:tr w:rsidR="009056D9" w:rsidRPr="00C57243" w:rsidTr="003E5718">
        <w:trPr>
          <w:trHeight w:val="170"/>
        </w:trPr>
        <w:tc>
          <w:tcPr>
            <w:tcW w:w="1510" w:type="dxa"/>
          </w:tcPr>
          <w:p w:rsidR="009056D9" w:rsidRPr="00C57243" w:rsidRDefault="009056D9" w:rsidP="003E5718">
            <w:pPr>
              <w:jc w:val="center"/>
              <w:rPr>
                <w:rFonts w:ascii="Arial" w:hAnsi="Arial"/>
                <w:lang w:val="es-ES"/>
              </w:rPr>
            </w:pPr>
            <w:r w:rsidRPr="00C57243">
              <w:rPr>
                <w:rFonts w:ascii="Arial" w:hAnsi="Arial"/>
                <w:lang w:val="es-ES"/>
              </w:rPr>
              <w:t>0402.10.10</w:t>
            </w:r>
          </w:p>
        </w:tc>
        <w:tc>
          <w:tcPr>
            <w:tcW w:w="7080" w:type="dxa"/>
          </w:tcPr>
          <w:p w:rsidR="009056D9" w:rsidRPr="00C57243" w:rsidRDefault="009056D9" w:rsidP="003E5718">
            <w:pPr>
              <w:rPr>
                <w:lang w:val="es-ES"/>
              </w:rPr>
            </w:pPr>
            <w:r w:rsidRPr="00C57243">
              <w:rPr>
                <w:rFonts w:ascii="Arial" w:hAnsi="Arial"/>
                <w:lang w:val="es-ES"/>
              </w:rPr>
              <w:t>Con tenor de arsénico, plomo o cobre, considerados aisladamente, inferior a 5ppm</w:t>
            </w:r>
          </w:p>
        </w:tc>
        <w:tc>
          <w:tcPr>
            <w:tcW w:w="820" w:type="dxa"/>
          </w:tcPr>
          <w:p w:rsidR="009056D9" w:rsidRPr="00C57243" w:rsidRDefault="009056D9" w:rsidP="003E5718">
            <w:pPr>
              <w:jc w:val="center"/>
              <w:rPr>
                <w:rFonts w:ascii="Arial" w:hAnsi="Arial"/>
                <w:lang w:val="es-ES"/>
              </w:rPr>
            </w:pPr>
            <w:r w:rsidRPr="00C57243">
              <w:rPr>
                <w:rFonts w:ascii="Arial" w:hAnsi="Arial"/>
                <w:lang w:val="es-ES"/>
              </w:rPr>
              <w:t>28%</w:t>
            </w:r>
          </w:p>
        </w:tc>
      </w:tr>
      <w:tr w:rsidR="009056D9" w:rsidRPr="00C57243" w:rsidTr="003E5718">
        <w:trPr>
          <w:trHeight w:val="170"/>
        </w:trPr>
        <w:tc>
          <w:tcPr>
            <w:tcW w:w="1510" w:type="dxa"/>
          </w:tcPr>
          <w:p w:rsidR="009056D9" w:rsidRPr="00C57243" w:rsidRDefault="009056D9" w:rsidP="003E5718">
            <w:pPr>
              <w:jc w:val="center"/>
              <w:rPr>
                <w:rFonts w:ascii="Arial" w:hAnsi="Arial"/>
                <w:lang w:val="es-ES"/>
              </w:rPr>
            </w:pPr>
            <w:r w:rsidRPr="00C57243">
              <w:rPr>
                <w:rFonts w:ascii="Arial" w:hAnsi="Arial"/>
                <w:lang w:val="es-ES"/>
              </w:rPr>
              <w:t>0402.10.90</w:t>
            </w:r>
          </w:p>
        </w:tc>
        <w:tc>
          <w:tcPr>
            <w:tcW w:w="7080" w:type="dxa"/>
          </w:tcPr>
          <w:p w:rsidR="009056D9" w:rsidRPr="00C57243" w:rsidRDefault="009056D9" w:rsidP="003E5718">
            <w:pPr>
              <w:rPr>
                <w:lang w:val="es-ES"/>
              </w:rPr>
            </w:pPr>
            <w:r w:rsidRPr="00C57243">
              <w:rPr>
                <w:rFonts w:ascii="Arial" w:hAnsi="Arial"/>
                <w:lang w:val="es-ES"/>
              </w:rPr>
              <w:t>Los demás</w:t>
            </w:r>
          </w:p>
        </w:tc>
        <w:tc>
          <w:tcPr>
            <w:tcW w:w="820" w:type="dxa"/>
          </w:tcPr>
          <w:p w:rsidR="009056D9" w:rsidRPr="00C57243" w:rsidRDefault="009056D9" w:rsidP="003E5718">
            <w:pPr>
              <w:jc w:val="center"/>
              <w:rPr>
                <w:rFonts w:ascii="Arial" w:hAnsi="Arial"/>
                <w:lang w:val="es-ES"/>
              </w:rPr>
            </w:pPr>
            <w:r w:rsidRPr="00C57243">
              <w:rPr>
                <w:rFonts w:ascii="Arial" w:hAnsi="Arial"/>
                <w:lang w:val="es-ES"/>
              </w:rPr>
              <w:t>28%</w:t>
            </w:r>
          </w:p>
        </w:tc>
      </w:tr>
      <w:tr w:rsidR="009056D9" w:rsidRPr="00C57243" w:rsidTr="003E5718">
        <w:trPr>
          <w:trHeight w:val="170"/>
        </w:trPr>
        <w:tc>
          <w:tcPr>
            <w:tcW w:w="1510" w:type="dxa"/>
          </w:tcPr>
          <w:p w:rsidR="009056D9" w:rsidRPr="00C57243" w:rsidRDefault="009056D9" w:rsidP="003E5718">
            <w:pPr>
              <w:jc w:val="center"/>
              <w:rPr>
                <w:rFonts w:ascii="Arial" w:hAnsi="Arial"/>
                <w:lang w:val="es-ES"/>
              </w:rPr>
            </w:pPr>
            <w:r w:rsidRPr="00C57243">
              <w:rPr>
                <w:rFonts w:ascii="Arial" w:hAnsi="Arial"/>
                <w:lang w:val="es-ES"/>
              </w:rPr>
              <w:t>0402.21.10</w:t>
            </w:r>
          </w:p>
        </w:tc>
        <w:tc>
          <w:tcPr>
            <w:tcW w:w="7080" w:type="dxa"/>
          </w:tcPr>
          <w:p w:rsidR="009056D9" w:rsidRPr="00C57243" w:rsidRDefault="009056D9" w:rsidP="003E5718">
            <w:pPr>
              <w:rPr>
                <w:lang w:val="es-ES"/>
              </w:rPr>
            </w:pPr>
            <w:r w:rsidRPr="00C57243">
              <w:rPr>
                <w:rFonts w:ascii="Arial" w:hAnsi="Arial"/>
                <w:lang w:val="es-ES"/>
              </w:rPr>
              <w:t>Leche entera</w:t>
            </w:r>
          </w:p>
        </w:tc>
        <w:tc>
          <w:tcPr>
            <w:tcW w:w="820" w:type="dxa"/>
          </w:tcPr>
          <w:p w:rsidR="009056D9" w:rsidRPr="00C57243" w:rsidRDefault="009056D9" w:rsidP="003E5718">
            <w:pPr>
              <w:jc w:val="center"/>
              <w:rPr>
                <w:rFonts w:ascii="Arial" w:hAnsi="Arial"/>
                <w:lang w:val="es-ES"/>
              </w:rPr>
            </w:pPr>
            <w:r w:rsidRPr="00C57243">
              <w:rPr>
                <w:rFonts w:ascii="Arial" w:hAnsi="Arial"/>
                <w:lang w:val="es-ES"/>
              </w:rPr>
              <w:t>28%</w:t>
            </w:r>
          </w:p>
        </w:tc>
      </w:tr>
      <w:tr w:rsidR="009056D9" w:rsidRPr="00C57243" w:rsidTr="003E5718">
        <w:trPr>
          <w:trHeight w:val="170"/>
        </w:trPr>
        <w:tc>
          <w:tcPr>
            <w:tcW w:w="1510" w:type="dxa"/>
          </w:tcPr>
          <w:p w:rsidR="009056D9" w:rsidRPr="00C57243" w:rsidRDefault="009056D9" w:rsidP="003E5718">
            <w:pPr>
              <w:jc w:val="center"/>
              <w:rPr>
                <w:rFonts w:ascii="Arial" w:hAnsi="Arial"/>
                <w:lang w:val="es-ES"/>
              </w:rPr>
            </w:pPr>
            <w:r w:rsidRPr="00C57243">
              <w:rPr>
                <w:rFonts w:ascii="Arial" w:hAnsi="Arial"/>
                <w:lang w:val="es-ES"/>
              </w:rPr>
              <w:t>0402.21.20</w:t>
            </w:r>
          </w:p>
        </w:tc>
        <w:tc>
          <w:tcPr>
            <w:tcW w:w="7080" w:type="dxa"/>
          </w:tcPr>
          <w:p w:rsidR="009056D9" w:rsidRPr="00C57243" w:rsidRDefault="009056D9" w:rsidP="003E5718">
            <w:pPr>
              <w:rPr>
                <w:lang w:val="es-ES"/>
              </w:rPr>
            </w:pPr>
            <w:r w:rsidRPr="00C57243">
              <w:rPr>
                <w:rFonts w:ascii="Arial" w:hAnsi="Arial"/>
                <w:lang w:val="es-ES"/>
              </w:rPr>
              <w:t>Leche parcialmente descremada</w:t>
            </w:r>
          </w:p>
        </w:tc>
        <w:tc>
          <w:tcPr>
            <w:tcW w:w="820" w:type="dxa"/>
          </w:tcPr>
          <w:p w:rsidR="009056D9" w:rsidRPr="00C57243" w:rsidRDefault="009056D9" w:rsidP="003E5718">
            <w:pPr>
              <w:jc w:val="center"/>
              <w:rPr>
                <w:rFonts w:ascii="Arial" w:hAnsi="Arial"/>
                <w:lang w:val="es-ES"/>
              </w:rPr>
            </w:pPr>
            <w:r w:rsidRPr="00C57243">
              <w:rPr>
                <w:rFonts w:ascii="Arial" w:hAnsi="Arial"/>
                <w:lang w:val="es-ES"/>
              </w:rPr>
              <w:t>28%</w:t>
            </w:r>
          </w:p>
        </w:tc>
      </w:tr>
      <w:tr w:rsidR="009056D9" w:rsidRPr="00C57243" w:rsidTr="003E5718">
        <w:trPr>
          <w:trHeight w:val="170"/>
        </w:trPr>
        <w:tc>
          <w:tcPr>
            <w:tcW w:w="1510" w:type="dxa"/>
          </w:tcPr>
          <w:p w:rsidR="009056D9" w:rsidRPr="00C57243" w:rsidRDefault="009056D9" w:rsidP="003E5718">
            <w:pPr>
              <w:jc w:val="center"/>
              <w:rPr>
                <w:rFonts w:ascii="Arial" w:hAnsi="Arial"/>
                <w:lang w:val="es-ES"/>
              </w:rPr>
            </w:pPr>
            <w:r w:rsidRPr="00C57243">
              <w:rPr>
                <w:rFonts w:ascii="Arial" w:hAnsi="Arial"/>
                <w:lang w:val="es-ES"/>
              </w:rPr>
              <w:t>0402.29.10</w:t>
            </w:r>
          </w:p>
        </w:tc>
        <w:tc>
          <w:tcPr>
            <w:tcW w:w="7080" w:type="dxa"/>
          </w:tcPr>
          <w:p w:rsidR="009056D9" w:rsidRPr="00C57243" w:rsidRDefault="009056D9" w:rsidP="003E5718">
            <w:pPr>
              <w:rPr>
                <w:lang w:val="es-ES"/>
              </w:rPr>
            </w:pPr>
            <w:r w:rsidRPr="00C57243">
              <w:rPr>
                <w:rFonts w:ascii="Arial" w:hAnsi="Arial"/>
                <w:lang w:val="es-ES"/>
              </w:rPr>
              <w:t>Leche entera</w:t>
            </w:r>
          </w:p>
        </w:tc>
        <w:tc>
          <w:tcPr>
            <w:tcW w:w="820" w:type="dxa"/>
          </w:tcPr>
          <w:p w:rsidR="009056D9" w:rsidRPr="00C57243" w:rsidRDefault="009056D9" w:rsidP="003E5718">
            <w:pPr>
              <w:jc w:val="center"/>
              <w:rPr>
                <w:rFonts w:ascii="Arial" w:hAnsi="Arial"/>
                <w:lang w:val="es-ES"/>
              </w:rPr>
            </w:pPr>
            <w:r w:rsidRPr="00C57243">
              <w:rPr>
                <w:rFonts w:ascii="Arial" w:hAnsi="Arial"/>
                <w:lang w:val="es-ES"/>
              </w:rPr>
              <w:t>28%</w:t>
            </w:r>
          </w:p>
        </w:tc>
      </w:tr>
      <w:tr w:rsidR="009056D9" w:rsidRPr="00C57243" w:rsidTr="003E5718">
        <w:trPr>
          <w:trHeight w:val="170"/>
        </w:trPr>
        <w:tc>
          <w:tcPr>
            <w:tcW w:w="1510" w:type="dxa"/>
          </w:tcPr>
          <w:p w:rsidR="009056D9" w:rsidRPr="00C57243" w:rsidRDefault="009056D9" w:rsidP="003E5718">
            <w:pPr>
              <w:jc w:val="center"/>
              <w:rPr>
                <w:rFonts w:ascii="Arial" w:hAnsi="Arial"/>
                <w:lang w:val="es-ES"/>
              </w:rPr>
            </w:pPr>
            <w:r w:rsidRPr="00C57243">
              <w:rPr>
                <w:rFonts w:ascii="Arial" w:hAnsi="Arial"/>
                <w:lang w:val="es-ES"/>
              </w:rPr>
              <w:t>0402.29.20</w:t>
            </w:r>
          </w:p>
        </w:tc>
        <w:tc>
          <w:tcPr>
            <w:tcW w:w="7080" w:type="dxa"/>
          </w:tcPr>
          <w:p w:rsidR="009056D9" w:rsidRPr="00C57243" w:rsidRDefault="009056D9" w:rsidP="003E5718">
            <w:pPr>
              <w:rPr>
                <w:lang w:val="es-ES"/>
              </w:rPr>
            </w:pPr>
            <w:r w:rsidRPr="00C57243">
              <w:rPr>
                <w:rFonts w:ascii="Arial" w:hAnsi="Arial"/>
                <w:lang w:val="es-ES"/>
              </w:rPr>
              <w:t>Leche parcialmente descremada</w:t>
            </w:r>
          </w:p>
        </w:tc>
        <w:tc>
          <w:tcPr>
            <w:tcW w:w="820" w:type="dxa"/>
          </w:tcPr>
          <w:p w:rsidR="009056D9" w:rsidRPr="00C57243" w:rsidRDefault="009056D9" w:rsidP="003E5718">
            <w:pPr>
              <w:jc w:val="center"/>
              <w:rPr>
                <w:rFonts w:ascii="Arial" w:hAnsi="Arial"/>
                <w:lang w:val="es-ES"/>
              </w:rPr>
            </w:pPr>
            <w:r w:rsidRPr="00C57243">
              <w:rPr>
                <w:rFonts w:ascii="Arial" w:hAnsi="Arial"/>
                <w:lang w:val="es-ES"/>
              </w:rPr>
              <w:t>28%</w:t>
            </w:r>
          </w:p>
        </w:tc>
      </w:tr>
      <w:tr w:rsidR="009056D9" w:rsidRPr="00C57243" w:rsidTr="003E5718">
        <w:trPr>
          <w:trHeight w:val="170"/>
        </w:trPr>
        <w:tc>
          <w:tcPr>
            <w:tcW w:w="1510" w:type="dxa"/>
          </w:tcPr>
          <w:p w:rsidR="009056D9" w:rsidRPr="00C57243" w:rsidRDefault="009056D9" w:rsidP="003E5718">
            <w:pPr>
              <w:jc w:val="center"/>
              <w:rPr>
                <w:rFonts w:ascii="Arial" w:hAnsi="Arial"/>
                <w:lang w:val="es-ES"/>
              </w:rPr>
            </w:pPr>
            <w:r w:rsidRPr="00C57243">
              <w:rPr>
                <w:rFonts w:ascii="Arial" w:hAnsi="Arial"/>
                <w:lang w:val="es-ES"/>
              </w:rPr>
              <w:t>0402.99.00</w:t>
            </w:r>
          </w:p>
        </w:tc>
        <w:tc>
          <w:tcPr>
            <w:tcW w:w="7080" w:type="dxa"/>
          </w:tcPr>
          <w:p w:rsidR="009056D9" w:rsidRPr="00C57243" w:rsidRDefault="009056D9" w:rsidP="003E5718">
            <w:pPr>
              <w:rPr>
                <w:lang w:val="es-ES"/>
              </w:rPr>
            </w:pPr>
            <w:r w:rsidRPr="00C57243">
              <w:rPr>
                <w:rFonts w:ascii="Arial" w:hAnsi="Arial"/>
                <w:lang w:val="es-ES"/>
              </w:rPr>
              <w:t>Los demás</w:t>
            </w:r>
          </w:p>
        </w:tc>
        <w:tc>
          <w:tcPr>
            <w:tcW w:w="820" w:type="dxa"/>
          </w:tcPr>
          <w:p w:rsidR="009056D9" w:rsidRPr="00C57243" w:rsidRDefault="009056D9" w:rsidP="003E5718">
            <w:pPr>
              <w:jc w:val="center"/>
              <w:rPr>
                <w:rFonts w:ascii="Arial" w:hAnsi="Arial"/>
                <w:lang w:val="es-ES"/>
              </w:rPr>
            </w:pPr>
            <w:r w:rsidRPr="00C57243">
              <w:rPr>
                <w:rFonts w:ascii="Arial" w:hAnsi="Arial"/>
                <w:lang w:val="es-ES"/>
              </w:rPr>
              <w:t>28%</w:t>
            </w:r>
          </w:p>
        </w:tc>
      </w:tr>
      <w:tr w:rsidR="009056D9" w:rsidRPr="00C57243" w:rsidTr="003E5718">
        <w:trPr>
          <w:trHeight w:val="113"/>
        </w:trPr>
        <w:tc>
          <w:tcPr>
            <w:tcW w:w="1510" w:type="dxa"/>
          </w:tcPr>
          <w:p w:rsidR="009056D9" w:rsidRPr="00C57243" w:rsidRDefault="009056D9" w:rsidP="003E5718">
            <w:pPr>
              <w:jc w:val="center"/>
              <w:rPr>
                <w:rFonts w:ascii="Arial" w:hAnsi="Arial"/>
                <w:lang w:val="es-ES"/>
              </w:rPr>
            </w:pPr>
            <w:r w:rsidRPr="00C57243">
              <w:rPr>
                <w:rFonts w:ascii="Arial" w:hAnsi="Arial"/>
                <w:lang w:val="es-ES"/>
              </w:rPr>
              <w:t>0404.10.00</w:t>
            </w:r>
          </w:p>
        </w:tc>
        <w:tc>
          <w:tcPr>
            <w:tcW w:w="7080" w:type="dxa"/>
          </w:tcPr>
          <w:p w:rsidR="009056D9" w:rsidRPr="00C57243" w:rsidRDefault="009056D9" w:rsidP="003E5718">
            <w:pPr>
              <w:rPr>
                <w:lang w:val="es-ES"/>
              </w:rPr>
            </w:pPr>
            <w:proofErr w:type="spellStart"/>
            <w:r w:rsidRPr="00C57243">
              <w:rPr>
                <w:rFonts w:ascii="Arial" w:hAnsi="Arial"/>
                <w:lang w:val="es-ES"/>
              </w:rPr>
              <w:t>Lactosuero</w:t>
            </w:r>
            <w:proofErr w:type="spellEnd"/>
            <w:r w:rsidRPr="00C57243">
              <w:rPr>
                <w:rFonts w:ascii="Arial" w:hAnsi="Arial"/>
                <w:lang w:val="es-ES"/>
              </w:rPr>
              <w:t>, aunque esté modificado, incluso concentrado o con adición de azúcar u otro edulcorante</w:t>
            </w:r>
          </w:p>
        </w:tc>
        <w:tc>
          <w:tcPr>
            <w:tcW w:w="820" w:type="dxa"/>
          </w:tcPr>
          <w:p w:rsidR="009056D9" w:rsidRPr="00C57243" w:rsidRDefault="009056D9" w:rsidP="003E5718">
            <w:pPr>
              <w:jc w:val="center"/>
              <w:rPr>
                <w:rFonts w:ascii="Arial" w:hAnsi="Arial"/>
                <w:lang w:val="es-ES"/>
              </w:rPr>
            </w:pPr>
            <w:r w:rsidRPr="00C57243">
              <w:rPr>
                <w:rFonts w:ascii="Arial" w:hAnsi="Arial"/>
                <w:lang w:val="es-ES"/>
              </w:rPr>
              <w:t>28%</w:t>
            </w:r>
          </w:p>
        </w:tc>
      </w:tr>
      <w:tr w:rsidR="009056D9" w:rsidRPr="00C57243" w:rsidTr="003E5718">
        <w:trPr>
          <w:trHeight w:val="170"/>
        </w:trPr>
        <w:tc>
          <w:tcPr>
            <w:tcW w:w="1510" w:type="dxa"/>
          </w:tcPr>
          <w:p w:rsidR="009056D9" w:rsidRPr="00C57243" w:rsidRDefault="009056D9" w:rsidP="003E5718">
            <w:pPr>
              <w:jc w:val="center"/>
              <w:rPr>
                <w:rFonts w:ascii="Arial" w:hAnsi="Arial"/>
                <w:lang w:val="es-ES"/>
              </w:rPr>
            </w:pPr>
            <w:r w:rsidRPr="00C57243">
              <w:rPr>
                <w:rFonts w:ascii="Arial" w:hAnsi="Arial"/>
                <w:lang w:val="es-ES"/>
              </w:rPr>
              <w:t>0406.10.10</w:t>
            </w:r>
          </w:p>
        </w:tc>
        <w:tc>
          <w:tcPr>
            <w:tcW w:w="7080" w:type="dxa"/>
          </w:tcPr>
          <w:p w:rsidR="009056D9" w:rsidRPr="00C57243" w:rsidRDefault="009056D9" w:rsidP="003E5718">
            <w:pPr>
              <w:rPr>
                <w:lang w:val="es-ES"/>
              </w:rPr>
            </w:pPr>
            <w:r w:rsidRPr="00C57243">
              <w:rPr>
                <w:rFonts w:ascii="Arial" w:hAnsi="Arial"/>
                <w:lang w:val="es-ES"/>
              </w:rPr>
              <w:t>Mozzarella</w:t>
            </w:r>
          </w:p>
        </w:tc>
        <w:tc>
          <w:tcPr>
            <w:tcW w:w="820" w:type="dxa"/>
          </w:tcPr>
          <w:p w:rsidR="009056D9" w:rsidRPr="00C57243" w:rsidRDefault="009056D9" w:rsidP="003E5718">
            <w:pPr>
              <w:jc w:val="center"/>
              <w:rPr>
                <w:rFonts w:ascii="Arial" w:hAnsi="Arial"/>
                <w:lang w:val="es-ES"/>
              </w:rPr>
            </w:pPr>
            <w:r w:rsidRPr="00C57243">
              <w:rPr>
                <w:rFonts w:ascii="Arial" w:hAnsi="Arial"/>
                <w:lang w:val="es-ES"/>
              </w:rPr>
              <w:t>28%</w:t>
            </w:r>
          </w:p>
        </w:tc>
      </w:tr>
      <w:tr w:rsidR="009056D9" w:rsidRPr="00C57243" w:rsidTr="003E5718">
        <w:trPr>
          <w:trHeight w:val="170"/>
        </w:trPr>
        <w:tc>
          <w:tcPr>
            <w:tcW w:w="1510" w:type="dxa"/>
          </w:tcPr>
          <w:p w:rsidR="009056D9" w:rsidRPr="00C57243" w:rsidRDefault="009056D9" w:rsidP="003E5718">
            <w:pPr>
              <w:jc w:val="center"/>
              <w:rPr>
                <w:rFonts w:ascii="Arial" w:hAnsi="Arial"/>
                <w:lang w:val="es-ES"/>
              </w:rPr>
            </w:pPr>
            <w:r w:rsidRPr="00C57243">
              <w:rPr>
                <w:rFonts w:ascii="Arial" w:hAnsi="Arial"/>
                <w:lang w:val="es-ES"/>
              </w:rPr>
              <w:t>0406.90.10</w:t>
            </w:r>
          </w:p>
        </w:tc>
        <w:tc>
          <w:tcPr>
            <w:tcW w:w="7080" w:type="dxa"/>
          </w:tcPr>
          <w:p w:rsidR="009056D9" w:rsidRPr="00C57243" w:rsidRDefault="009056D9" w:rsidP="003E5718">
            <w:pPr>
              <w:rPr>
                <w:lang w:val="es-ES"/>
              </w:rPr>
            </w:pPr>
            <w:r w:rsidRPr="00C57243">
              <w:rPr>
                <w:rFonts w:ascii="Arial" w:hAnsi="Arial"/>
                <w:lang w:val="es-ES"/>
              </w:rPr>
              <w:t>Con un tenor de humedad inferior al 36,0%, en peso (pasta dura)</w:t>
            </w:r>
          </w:p>
        </w:tc>
        <w:tc>
          <w:tcPr>
            <w:tcW w:w="820" w:type="dxa"/>
          </w:tcPr>
          <w:p w:rsidR="009056D9" w:rsidRPr="00C57243" w:rsidRDefault="009056D9" w:rsidP="003E5718">
            <w:pPr>
              <w:jc w:val="center"/>
              <w:rPr>
                <w:rFonts w:ascii="Arial" w:hAnsi="Arial"/>
                <w:lang w:val="es-ES"/>
              </w:rPr>
            </w:pPr>
            <w:r w:rsidRPr="00C57243">
              <w:rPr>
                <w:rFonts w:ascii="Arial" w:hAnsi="Arial"/>
                <w:lang w:val="es-ES"/>
              </w:rPr>
              <w:t>28%</w:t>
            </w:r>
          </w:p>
        </w:tc>
      </w:tr>
      <w:tr w:rsidR="009056D9" w:rsidRPr="00C57243" w:rsidTr="003E5718">
        <w:trPr>
          <w:trHeight w:val="170"/>
        </w:trPr>
        <w:tc>
          <w:tcPr>
            <w:tcW w:w="1510" w:type="dxa"/>
          </w:tcPr>
          <w:p w:rsidR="009056D9" w:rsidRPr="00C57243" w:rsidRDefault="009056D9" w:rsidP="003E5718">
            <w:pPr>
              <w:jc w:val="center"/>
              <w:rPr>
                <w:rFonts w:ascii="Arial" w:hAnsi="Arial"/>
                <w:lang w:val="es-ES"/>
              </w:rPr>
            </w:pPr>
            <w:r w:rsidRPr="00C57243">
              <w:rPr>
                <w:rFonts w:ascii="Arial" w:hAnsi="Arial"/>
                <w:lang w:val="es-ES"/>
              </w:rPr>
              <w:t>0406.90.20</w:t>
            </w:r>
          </w:p>
        </w:tc>
        <w:tc>
          <w:tcPr>
            <w:tcW w:w="7080" w:type="dxa"/>
          </w:tcPr>
          <w:p w:rsidR="009056D9" w:rsidRPr="00C57243" w:rsidRDefault="009056D9" w:rsidP="003E5718">
            <w:pPr>
              <w:rPr>
                <w:lang w:val="es-ES"/>
              </w:rPr>
            </w:pPr>
            <w:r w:rsidRPr="00C57243">
              <w:rPr>
                <w:rFonts w:ascii="Arial" w:hAnsi="Arial"/>
                <w:lang w:val="es-ES"/>
              </w:rPr>
              <w:t>Con un tenor de humedad superior o igual al 36,0% e inferior al 46,0% en peso (pasta semidura)</w:t>
            </w:r>
          </w:p>
        </w:tc>
        <w:tc>
          <w:tcPr>
            <w:tcW w:w="820" w:type="dxa"/>
          </w:tcPr>
          <w:p w:rsidR="009056D9" w:rsidRPr="00C57243" w:rsidRDefault="009056D9" w:rsidP="003E5718">
            <w:pPr>
              <w:jc w:val="center"/>
              <w:rPr>
                <w:rFonts w:ascii="Arial" w:hAnsi="Arial"/>
                <w:lang w:val="es-ES"/>
              </w:rPr>
            </w:pPr>
            <w:r w:rsidRPr="00C57243">
              <w:rPr>
                <w:rFonts w:ascii="Arial" w:hAnsi="Arial"/>
                <w:lang w:val="es-ES"/>
              </w:rPr>
              <w:t>28%</w:t>
            </w:r>
          </w:p>
        </w:tc>
      </w:tr>
    </w:tbl>
    <w:p w:rsidR="009056D9" w:rsidRPr="00C57243" w:rsidRDefault="009056D9" w:rsidP="009056D9">
      <w:pPr>
        <w:rPr>
          <w:rFonts w:ascii="Arial" w:hAnsi="Arial"/>
          <w:lang w:val="es-ES"/>
        </w:rPr>
      </w:pPr>
    </w:p>
    <w:p w:rsidR="009056D9" w:rsidRPr="00C57243" w:rsidRDefault="009056D9" w:rsidP="009056D9">
      <w:pPr>
        <w:jc w:val="right"/>
        <w:rPr>
          <w:rFonts w:ascii="Arial" w:hAnsi="Arial"/>
          <w:b/>
          <w:lang w:val="es-ES"/>
        </w:rPr>
      </w:pPr>
    </w:p>
    <w:p w:rsidR="00830B2F" w:rsidRPr="00C57243" w:rsidRDefault="00830B2F" w:rsidP="00830B2F">
      <w:pPr>
        <w:pStyle w:val="Textoindependiente"/>
        <w:ind w:left="851" w:right="849"/>
        <w:rPr>
          <w:lang w:val="es-AR"/>
        </w:rPr>
      </w:pPr>
    </w:p>
    <w:p w:rsidR="00A135EC" w:rsidRPr="00C57243" w:rsidRDefault="00A135EC" w:rsidP="00A135EC">
      <w:pPr>
        <w:rPr>
          <w:rFonts w:ascii="Arial" w:hAnsi="Arial" w:cs="Arial"/>
          <w:b/>
          <w:sz w:val="24"/>
          <w:szCs w:val="24"/>
          <w:lang w:val="es-AR"/>
        </w:rPr>
      </w:pPr>
    </w:p>
    <w:p w:rsidR="00A135EC" w:rsidRPr="00C57243" w:rsidRDefault="00A135EC" w:rsidP="00A135EC">
      <w:pPr>
        <w:pStyle w:val="Ttulo1"/>
        <w:jc w:val="right"/>
        <w:rPr>
          <w:rFonts w:ascii="Arial-BoldMT" w:hAnsi="Arial-BoldMT"/>
          <w:lang w:val="es-ES"/>
        </w:rPr>
      </w:pPr>
    </w:p>
    <w:p w:rsidR="00A135EC" w:rsidRPr="00C57243" w:rsidRDefault="00A135EC" w:rsidP="00A135EC">
      <w:pPr>
        <w:autoSpaceDE w:val="0"/>
        <w:autoSpaceDN w:val="0"/>
        <w:adjustRightInd w:val="0"/>
        <w:jc w:val="both"/>
        <w:rPr>
          <w:rFonts w:ascii="Arial" w:hAnsi="Arial"/>
          <w:sz w:val="24"/>
          <w:szCs w:val="24"/>
          <w:lang w:val="es-ES"/>
        </w:rPr>
      </w:pPr>
      <w:r w:rsidRPr="00C57243">
        <w:rPr>
          <w:lang w:val="es-ES"/>
        </w:rPr>
        <w:br w:type="page"/>
      </w:r>
    </w:p>
    <w:p w:rsidR="00A135EC" w:rsidRPr="00C57243" w:rsidRDefault="00A135EC" w:rsidP="00A135EC">
      <w:pPr>
        <w:jc w:val="center"/>
        <w:rPr>
          <w:rFonts w:ascii="Arial" w:hAnsi="Arial"/>
          <w:b/>
          <w:lang w:val="en-US"/>
        </w:rPr>
      </w:pPr>
      <w:r w:rsidRPr="00C57243">
        <w:rPr>
          <w:rFonts w:ascii="Arial" w:hAnsi="Arial"/>
          <w:b/>
          <w:lang w:val="en-US"/>
        </w:rPr>
        <w:lastRenderedPageBreak/>
        <w:t>ANEXO II</w:t>
      </w:r>
    </w:p>
    <w:p w:rsidR="00A135EC" w:rsidRPr="00C57243" w:rsidRDefault="00A135EC" w:rsidP="00A135EC">
      <w:pPr>
        <w:rPr>
          <w:szCs w:val="24"/>
          <w:lang w:val="es-ES"/>
        </w:rPr>
      </w:pPr>
    </w:p>
    <w:p w:rsidR="00A135EC" w:rsidRPr="00C57243" w:rsidRDefault="00A135EC" w:rsidP="00A135EC">
      <w:pPr>
        <w:jc w:val="center"/>
        <w:rPr>
          <w:rFonts w:ascii="Arial" w:hAnsi="Arial"/>
          <w:b/>
          <w:szCs w:val="24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2881"/>
        <w:gridCol w:w="2881"/>
        <w:gridCol w:w="2881"/>
      </w:tblGrid>
      <w:tr w:rsidR="00A135EC" w:rsidRPr="00C57243" w:rsidTr="003E5718">
        <w:trPr>
          <w:trHeight w:val="600"/>
        </w:trPr>
        <w:tc>
          <w:tcPr>
            <w:tcW w:w="2881" w:type="dxa"/>
            <w:vAlign w:val="center"/>
          </w:tcPr>
          <w:p w:rsidR="00A135EC" w:rsidRPr="00C57243" w:rsidRDefault="00A135EC" w:rsidP="003E5718">
            <w:pPr>
              <w:spacing w:before="120" w:after="120"/>
              <w:jc w:val="center"/>
              <w:rPr>
                <w:szCs w:val="24"/>
                <w:lang w:val="es-ES"/>
              </w:rPr>
            </w:pPr>
            <w:r w:rsidRPr="00C57243">
              <w:rPr>
                <w:rFonts w:ascii="Arial" w:hAnsi="Arial"/>
                <w:b/>
                <w:szCs w:val="24"/>
                <w:lang w:val="es-ES"/>
              </w:rPr>
              <w:t>NCM</w:t>
            </w:r>
          </w:p>
        </w:tc>
        <w:tc>
          <w:tcPr>
            <w:tcW w:w="2881" w:type="dxa"/>
            <w:vAlign w:val="center"/>
          </w:tcPr>
          <w:p w:rsidR="00A135EC" w:rsidRPr="00C57243" w:rsidRDefault="00A135EC" w:rsidP="003E5718">
            <w:pPr>
              <w:spacing w:before="120" w:after="120"/>
              <w:jc w:val="center"/>
              <w:rPr>
                <w:szCs w:val="24"/>
                <w:lang w:val="es-ES"/>
              </w:rPr>
            </w:pPr>
            <w:r w:rsidRPr="00C57243">
              <w:rPr>
                <w:rFonts w:ascii="Arial" w:hAnsi="Arial"/>
                <w:b/>
                <w:szCs w:val="24"/>
                <w:lang w:val="es-ES"/>
              </w:rPr>
              <w:t>Descripción:</w:t>
            </w:r>
          </w:p>
        </w:tc>
        <w:tc>
          <w:tcPr>
            <w:tcW w:w="2881" w:type="dxa"/>
            <w:vAlign w:val="center"/>
          </w:tcPr>
          <w:p w:rsidR="00A135EC" w:rsidRPr="00C57243" w:rsidRDefault="00A135EC" w:rsidP="003E5718">
            <w:pPr>
              <w:spacing w:before="120" w:after="120"/>
              <w:jc w:val="center"/>
              <w:rPr>
                <w:szCs w:val="24"/>
                <w:lang w:val="es-ES"/>
              </w:rPr>
            </w:pPr>
            <w:r w:rsidRPr="00C57243">
              <w:rPr>
                <w:rFonts w:ascii="Arial" w:hAnsi="Arial"/>
                <w:b/>
                <w:szCs w:val="24"/>
                <w:lang w:val="es-ES"/>
              </w:rPr>
              <w:t>AEC</w:t>
            </w:r>
          </w:p>
        </w:tc>
      </w:tr>
      <w:tr w:rsidR="00A135EC" w:rsidRPr="00C57243" w:rsidTr="003E5718">
        <w:trPr>
          <w:trHeight w:val="1145"/>
        </w:trPr>
        <w:tc>
          <w:tcPr>
            <w:tcW w:w="2881" w:type="dxa"/>
            <w:vAlign w:val="center"/>
          </w:tcPr>
          <w:p w:rsidR="00A135EC" w:rsidRPr="00C57243" w:rsidRDefault="00A135EC" w:rsidP="003E5718">
            <w:pPr>
              <w:spacing w:before="120" w:after="120"/>
              <w:jc w:val="center"/>
              <w:rPr>
                <w:rFonts w:ascii="Arial" w:hAnsi="Arial"/>
                <w:sz w:val="24"/>
                <w:szCs w:val="24"/>
                <w:lang w:val="es-ES"/>
              </w:rPr>
            </w:pPr>
            <w:r w:rsidRPr="00C57243">
              <w:rPr>
                <w:rFonts w:ascii="Arial" w:hAnsi="Arial"/>
                <w:szCs w:val="24"/>
                <w:lang w:val="es-ES"/>
              </w:rPr>
              <w:t>2008.70.10</w:t>
            </w:r>
          </w:p>
        </w:tc>
        <w:tc>
          <w:tcPr>
            <w:tcW w:w="2881" w:type="dxa"/>
            <w:vAlign w:val="center"/>
          </w:tcPr>
          <w:p w:rsidR="00A135EC" w:rsidRPr="00C57243" w:rsidRDefault="00A135EC" w:rsidP="003E5718">
            <w:pPr>
              <w:spacing w:before="120" w:after="120"/>
              <w:jc w:val="center"/>
              <w:rPr>
                <w:szCs w:val="24"/>
                <w:lang w:val="es-ES"/>
              </w:rPr>
            </w:pPr>
            <w:r w:rsidRPr="00C57243">
              <w:rPr>
                <w:rFonts w:ascii="Arial" w:hAnsi="Arial"/>
                <w:szCs w:val="24"/>
                <w:lang w:val="es-ES"/>
              </w:rPr>
              <w:t>En agua edulcorada, incluido el jarabe</w:t>
            </w:r>
          </w:p>
        </w:tc>
        <w:tc>
          <w:tcPr>
            <w:tcW w:w="2881" w:type="dxa"/>
            <w:vAlign w:val="center"/>
          </w:tcPr>
          <w:p w:rsidR="00A135EC" w:rsidRPr="00C57243" w:rsidRDefault="00A135EC" w:rsidP="003E5718">
            <w:pPr>
              <w:spacing w:before="120" w:after="120"/>
              <w:jc w:val="center"/>
              <w:rPr>
                <w:rFonts w:ascii="Arial" w:hAnsi="Arial"/>
                <w:sz w:val="24"/>
                <w:szCs w:val="24"/>
                <w:lang w:val="es-ES"/>
              </w:rPr>
            </w:pPr>
            <w:r w:rsidRPr="00C57243">
              <w:rPr>
                <w:rFonts w:ascii="Arial" w:hAnsi="Arial"/>
                <w:szCs w:val="24"/>
                <w:lang w:val="es-ES"/>
              </w:rPr>
              <w:t>35%</w:t>
            </w:r>
          </w:p>
        </w:tc>
      </w:tr>
      <w:tr w:rsidR="00A135EC" w:rsidRPr="00C57243" w:rsidTr="003E5718">
        <w:trPr>
          <w:trHeight w:val="1145"/>
        </w:trPr>
        <w:tc>
          <w:tcPr>
            <w:tcW w:w="2881" w:type="dxa"/>
            <w:vAlign w:val="center"/>
          </w:tcPr>
          <w:p w:rsidR="00A135EC" w:rsidRPr="00C57243" w:rsidRDefault="00A135EC" w:rsidP="003E5718">
            <w:pPr>
              <w:spacing w:before="120" w:after="120"/>
              <w:jc w:val="center"/>
              <w:rPr>
                <w:rFonts w:ascii="Arial" w:hAnsi="Arial"/>
                <w:szCs w:val="24"/>
                <w:lang w:val="es-ES"/>
              </w:rPr>
            </w:pPr>
            <w:r w:rsidRPr="00C57243">
              <w:rPr>
                <w:rFonts w:ascii="Arial" w:hAnsi="Arial"/>
                <w:szCs w:val="24"/>
                <w:lang w:val="es-ES"/>
              </w:rPr>
              <w:t>2008.70.20</w:t>
            </w:r>
          </w:p>
        </w:tc>
        <w:tc>
          <w:tcPr>
            <w:tcW w:w="2881" w:type="dxa"/>
            <w:vAlign w:val="center"/>
          </w:tcPr>
          <w:p w:rsidR="00A135EC" w:rsidRPr="00C57243" w:rsidRDefault="00A135EC" w:rsidP="003E5718">
            <w:pPr>
              <w:spacing w:before="120" w:after="120"/>
              <w:jc w:val="center"/>
              <w:rPr>
                <w:szCs w:val="24"/>
                <w:lang w:val="es-ES"/>
              </w:rPr>
            </w:pPr>
            <w:r w:rsidRPr="00C57243">
              <w:rPr>
                <w:rFonts w:ascii="Arial" w:hAnsi="Arial"/>
                <w:szCs w:val="24"/>
                <w:lang w:val="es-ES"/>
              </w:rPr>
              <w:t xml:space="preserve">Pulpa de valor </w:t>
            </w:r>
            <w:proofErr w:type="spellStart"/>
            <w:r w:rsidRPr="00C57243">
              <w:rPr>
                <w:rFonts w:ascii="Arial" w:hAnsi="Arial"/>
                <w:szCs w:val="24"/>
                <w:lang w:val="es-ES"/>
              </w:rPr>
              <w:t>Brix</w:t>
            </w:r>
            <w:proofErr w:type="spellEnd"/>
            <w:r w:rsidRPr="00C57243">
              <w:rPr>
                <w:rFonts w:ascii="Arial" w:hAnsi="Arial"/>
                <w:szCs w:val="24"/>
                <w:lang w:val="es-ES"/>
              </w:rPr>
              <w:t xml:space="preserve">                        igual o superior a 20</w:t>
            </w:r>
          </w:p>
        </w:tc>
        <w:tc>
          <w:tcPr>
            <w:tcW w:w="2881" w:type="dxa"/>
            <w:vAlign w:val="center"/>
          </w:tcPr>
          <w:p w:rsidR="00A135EC" w:rsidRPr="00C57243" w:rsidRDefault="00A135EC" w:rsidP="003E5718">
            <w:pPr>
              <w:spacing w:before="120" w:after="120"/>
              <w:jc w:val="center"/>
              <w:rPr>
                <w:rFonts w:ascii="Arial" w:hAnsi="Arial"/>
                <w:szCs w:val="24"/>
                <w:lang w:val="es-ES"/>
              </w:rPr>
            </w:pPr>
            <w:r w:rsidRPr="00C57243">
              <w:rPr>
                <w:rFonts w:ascii="Arial" w:hAnsi="Arial"/>
                <w:szCs w:val="24"/>
                <w:lang w:val="es-ES"/>
              </w:rPr>
              <w:t>35%</w:t>
            </w:r>
          </w:p>
        </w:tc>
      </w:tr>
      <w:tr w:rsidR="00A135EC" w:rsidRPr="00C57243" w:rsidTr="003E5718">
        <w:trPr>
          <w:trHeight w:val="1079"/>
        </w:trPr>
        <w:tc>
          <w:tcPr>
            <w:tcW w:w="2881" w:type="dxa"/>
            <w:vAlign w:val="center"/>
          </w:tcPr>
          <w:p w:rsidR="00A135EC" w:rsidRPr="00C57243" w:rsidRDefault="00A135EC" w:rsidP="003E5718">
            <w:pPr>
              <w:spacing w:before="120" w:after="120"/>
              <w:jc w:val="center"/>
              <w:rPr>
                <w:rFonts w:ascii="Arial" w:hAnsi="Arial"/>
                <w:sz w:val="24"/>
                <w:szCs w:val="24"/>
                <w:lang w:val="es-ES"/>
              </w:rPr>
            </w:pPr>
            <w:r w:rsidRPr="00C57243">
              <w:rPr>
                <w:rFonts w:ascii="Arial" w:hAnsi="Arial"/>
                <w:szCs w:val="24"/>
                <w:lang w:val="es-ES"/>
              </w:rPr>
              <w:t>2008.70.90</w:t>
            </w:r>
          </w:p>
        </w:tc>
        <w:tc>
          <w:tcPr>
            <w:tcW w:w="2881" w:type="dxa"/>
            <w:vAlign w:val="center"/>
          </w:tcPr>
          <w:p w:rsidR="00A135EC" w:rsidRPr="00C57243" w:rsidRDefault="00A135EC" w:rsidP="003E5718">
            <w:pPr>
              <w:spacing w:before="120" w:after="120"/>
              <w:jc w:val="center"/>
              <w:rPr>
                <w:szCs w:val="24"/>
                <w:lang w:val="es-ES"/>
              </w:rPr>
            </w:pPr>
            <w:r w:rsidRPr="00C57243">
              <w:rPr>
                <w:rFonts w:ascii="Arial" w:hAnsi="Arial"/>
                <w:szCs w:val="24"/>
                <w:lang w:val="es-ES"/>
              </w:rPr>
              <w:t>Los demás</w:t>
            </w:r>
          </w:p>
        </w:tc>
        <w:tc>
          <w:tcPr>
            <w:tcW w:w="2881" w:type="dxa"/>
            <w:vAlign w:val="center"/>
          </w:tcPr>
          <w:p w:rsidR="00A135EC" w:rsidRPr="00C57243" w:rsidRDefault="00A135EC" w:rsidP="003E5718">
            <w:pPr>
              <w:spacing w:before="120" w:after="120"/>
              <w:jc w:val="center"/>
              <w:rPr>
                <w:rFonts w:ascii="Arial" w:hAnsi="Arial"/>
                <w:sz w:val="24"/>
                <w:szCs w:val="24"/>
                <w:lang w:val="es-ES"/>
              </w:rPr>
            </w:pPr>
            <w:r w:rsidRPr="00C57243">
              <w:rPr>
                <w:rFonts w:ascii="Arial" w:hAnsi="Arial"/>
                <w:szCs w:val="24"/>
                <w:lang w:val="es-ES"/>
              </w:rPr>
              <w:t>35%</w:t>
            </w:r>
          </w:p>
        </w:tc>
      </w:tr>
    </w:tbl>
    <w:p w:rsidR="00A135EC" w:rsidRPr="00C57243" w:rsidRDefault="00A135EC">
      <w:pPr>
        <w:rPr>
          <w:rFonts w:ascii="Arial" w:hAnsi="Arial"/>
          <w:b/>
          <w:sz w:val="24"/>
          <w:lang w:val="es-ES"/>
        </w:rPr>
      </w:pPr>
    </w:p>
    <w:p w:rsidR="00A135EC" w:rsidRPr="00C57243" w:rsidRDefault="00A135EC">
      <w:pPr>
        <w:rPr>
          <w:rFonts w:ascii="Arial" w:hAnsi="Arial"/>
          <w:b/>
          <w:sz w:val="24"/>
          <w:lang w:val="es-ES"/>
        </w:rPr>
      </w:pPr>
      <w:r w:rsidRPr="00C57243">
        <w:rPr>
          <w:rFonts w:ascii="Arial" w:hAnsi="Arial"/>
          <w:b/>
          <w:sz w:val="24"/>
          <w:lang w:val="es-ES"/>
        </w:rPr>
        <w:br w:type="page"/>
      </w:r>
    </w:p>
    <w:p w:rsidR="00A135EC" w:rsidRPr="00C57243" w:rsidRDefault="00A135EC">
      <w:pPr>
        <w:rPr>
          <w:rFonts w:ascii="Arial" w:hAnsi="Arial"/>
          <w:b/>
          <w:sz w:val="24"/>
          <w:lang w:val="es-ES"/>
        </w:rPr>
      </w:pPr>
    </w:p>
    <w:p w:rsidR="00A135EC" w:rsidRPr="00C57243" w:rsidRDefault="00A135EC" w:rsidP="00A135EC">
      <w:pPr>
        <w:jc w:val="center"/>
        <w:rPr>
          <w:rFonts w:ascii="Arial" w:hAnsi="Arial"/>
          <w:b/>
          <w:lang w:val="en-US"/>
        </w:rPr>
      </w:pPr>
      <w:r w:rsidRPr="00C57243">
        <w:rPr>
          <w:rFonts w:ascii="Arial" w:hAnsi="Arial"/>
          <w:b/>
          <w:lang w:val="en-US"/>
        </w:rPr>
        <w:t>ANEXO III</w:t>
      </w:r>
    </w:p>
    <w:p w:rsidR="00A135EC" w:rsidRPr="00C57243" w:rsidRDefault="00A135EC" w:rsidP="00A135EC">
      <w:pPr>
        <w:rPr>
          <w:lang w:val="es-ES"/>
        </w:rPr>
      </w:pPr>
    </w:p>
    <w:p w:rsidR="00A135EC" w:rsidRPr="00C57243" w:rsidRDefault="00A135EC" w:rsidP="00A135EC">
      <w:pPr>
        <w:rPr>
          <w:lang w:val="es-ES"/>
        </w:rPr>
      </w:pPr>
    </w:p>
    <w:tbl>
      <w:tblPr>
        <w:tblW w:w="9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509"/>
        <w:gridCol w:w="7626"/>
      </w:tblGrid>
      <w:tr w:rsidR="00A135EC" w:rsidRPr="00C57243" w:rsidTr="003E5718">
        <w:tc>
          <w:tcPr>
            <w:tcW w:w="1510" w:type="dxa"/>
          </w:tcPr>
          <w:p w:rsidR="00A135EC" w:rsidRPr="00C57243" w:rsidRDefault="00A135EC" w:rsidP="003E5718">
            <w:pPr>
              <w:pStyle w:val="Ttulo1"/>
              <w:spacing w:line="280" w:lineRule="auto"/>
              <w:rPr>
                <w:lang w:val="es-ES"/>
              </w:rPr>
            </w:pPr>
            <w:r w:rsidRPr="00C57243">
              <w:rPr>
                <w:lang w:val="es-ES"/>
              </w:rPr>
              <w:t>NCM</w:t>
            </w:r>
          </w:p>
        </w:tc>
        <w:tc>
          <w:tcPr>
            <w:tcW w:w="7632" w:type="dxa"/>
          </w:tcPr>
          <w:p w:rsidR="00A135EC" w:rsidRPr="00C57243" w:rsidRDefault="00A135EC" w:rsidP="003E5718">
            <w:pPr>
              <w:pStyle w:val="Ttulo1"/>
              <w:spacing w:line="280" w:lineRule="auto"/>
              <w:rPr>
                <w:lang w:val="es-ES"/>
              </w:rPr>
            </w:pPr>
            <w:r w:rsidRPr="00C57243">
              <w:rPr>
                <w:lang w:val="es-ES"/>
              </w:rPr>
              <w:t>Descripción</w:t>
            </w:r>
          </w:p>
        </w:tc>
      </w:tr>
      <w:tr w:rsidR="00A135EC" w:rsidRPr="00C4692F" w:rsidTr="003E5718">
        <w:trPr>
          <w:trHeight w:val="170"/>
        </w:trPr>
        <w:tc>
          <w:tcPr>
            <w:tcW w:w="1510" w:type="dxa"/>
          </w:tcPr>
          <w:p w:rsidR="00A135EC" w:rsidRPr="00C57243" w:rsidRDefault="00A135EC" w:rsidP="003E5718">
            <w:pPr>
              <w:spacing w:line="276" w:lineRule="auto"/>
              <w:rPr>
                <w:rFonts w:ascii="Arial" w:hAnsi="Arial"/>
                <w:lang w:val="es-ES"/>
              </w:rPr>
            </w:pPr>
            <w:r w:rsidRPr="00C57243">
              <w:rPr>
                <w:rFonts w:ascii="Arial" w:hAnsi="Arial"/>
                <w:lang w:val="es-ES"/>
              </w:rPr>
              <w:t>9503.00.10</w:t>
            </w:r>
          </w:p>
        </w:tc>
        <w:tc>
          <w:tcPr>
            <w:tcW w:w="7632" w:type="dxa"/>
          </w:tcPr>
          <w:p w:rsidR="00A135EC" w:rsidRPr="00C57243" w:rsidRDefault="00A135EC" w:rsidP="003E5718">
            <w:pPr>
              <w:spacing w:line="280" w:lineRule="auto"/>
              <w:rPr>
                <w:lang w:val="es-ES"/>
              </w:rPr>
            </w:pPr>
            <w:r w:rsidRPr="00C57243">
              <w:rPr>
                <w:rFonts w:ascii="Arial" w:hAnsi="Arial"/>
                <w:lang w:val="es-ES"/>
              </w:rPr>
              <w:t xml:space="preserve">Triciclos, patinetes, coches de pedal y juguetes similares con ruedas; sillas de ruedas para muñecas o muñecos. </w:t>
            </w:r>
          </w:p>
        </w:tc>
      </w:tr>
      <w:tr w:rsidR="00A135EC" w:rsidRPr="00C4692F" w:rsidTr="003E5718">
        <w:trPr>
          <w:trHeight w:val="170"/>
        </w:trPr>
        <w:tc>
          <w:tcPr>
            <w:tcW w:w="1510" w:type="dxa"/>
          </w:tcPr>
          <w:p w:rsidR="00A135EC" w:rsidRPr="00C57243" w:rsidRDefault="00A135EC" w:rsidP="003E5718">
            <w:pPr>
              <w:spacing w:line="276" w:lineRule="auto"/>
              <w:rPr>
                <w:rFonts w:ascii="Arial" w:hAnsi="Arial"/>
                <w:lang w:val="es-ES"/>
              </w:rPr>
            </w:pPr>
            <w:r w:rsidRPr="00C57243">
              <w:rPr>
                <w:rFonts w:ascii="Arial" w:hAnsi="Arial"/>
                <w:lang w:val="es-ES"/>
              </w:rPr>
              <w:t>9503.00.21</w:t>
            </w:r>
          </w:p>
        </w:tc>
        <w:tc>
          <w:tcPr>
            <w:tcW w:w="7632" w:type="dxa"/>
          </w:tcPr>
          <w:p w:rsidR="00A135EC" w:rsidRPr="00C57243" w:rsidRDefault="00A135EC" w:rsidP="003E5718">
            <w:pPr>
              <w:spacing w:line="280" w:lineRule="auto"/>
              <w:rPr>
                <w:lang w:val="es-ES"/>
              </w:rPr>
            </w:pPr>
            <w:r w:rsidRPr="00C57243">
              <w:rPr>
                <w:rFonts w:ascii="Arial" w:hAnsi="Arial"/>
                <w:lang w:val="es-ES"/>
              </w:rPr>
              <w:t>Muñecas y muñecos, incluso vestidos, con mecanismo a cuerda o eléctrico</w:t>
            </w:r>
          </w:p>
        </w:tc>
      </w:tr>
      <w:tr w:rsidR="00A135EC" w:rsidRPr="00C4692F" w:rsidTr="003E5718">
        <w:trPr>
          <w:trHeight w:val="170"/>
        </w:trPr>
        <w:tc>
          <w:tcPr>
            <w:tcW w:w="1510" w:type="dxa"/>
          </w:tcPr>
          <w:p w:rsidR="00A135EC" w:rsidRPr="00C57243" w:rsidRDefault="00A135EC" w:rsidP="003E5718">
            <w:pPr>
              <w:spacing w:line="276" w:lineRule="auto"/>
              <w:rPr>
                <w:rFonts w:ascii="Arial" w:hAnsi="Arial"/>
                <w:lang w:val="es-ES"/>
              </w:rPr>
            </w:pPr>
            <w:r w:rsidRPr="00C57243">
              <w:rPr>
                <w:rFonts w:ascii="Arial" w:hAnsi="Arial"/>
                <w:lang w:val="es-ES"/>
              </w:rPr>
              <w:t>9503.00.22</w:t>
            </w:r>
          </w:p>
        </w:tc>
        <w:tc>
          <w:tcPr>
            <w:tcW w:w="7632" w:type="dxa"/>
          </w:tcPr>
          <w:p w:rsidR="00A135EC" w:rsidRPr="00C57243" w:rsidRDefault="00A135EC" w:rsidP="003E5718">
            <w:pPr>
              <w:spacing w:line="280" w:lineRule="auto"/>
              <w:rPr>
                <w:lang w:val="es-ES"/>
              </w:rPr>
            </w:pPr>
            <w:r w:rsidRPr="00C57243">
              <w:rPr>
                <w:rFonts w:ascii="Arial" w:hAnsi="Arial"/>
                <w:lang w:val="es-ES"/>
              </w:rPr>
              <w:t>Las demás muñecas y muñecos, incluso vestidos</w:t>
            </w:r>
          </w:p>
        </w:tc>
      </w:tr>
      <w:tr w:rsidR="00A135EC" w:rsidRPr="00C57243" w:rsidTr="003E5718">
        <w:trPr>
          <w:trHeight w:val="170"/>
        </w:trPr>
        <w:tc>
          <w:tcPr>
            <w:tcW w:w="1510" w:type="dxa"/>
          </w:tcPr>
          <w:p w:rsidR="00A135EC" w:rsidRPr="00C57243" w:rsidRDefault="00A135EC" w:rsidP="003E5718">
            <w:pPr>
              <w:spacing w:line="276" w:lineRule="auto"/>
              <w:rPr>
                <w:rFonts w:ascii="Arial" w:hAnsi="Arial"/>
                <w:lang w:val="es-ES"/>
              </w:rPr>
            </w:pPr>
            <w:r w:rsidRPr="00C57243">
              <w:rPr>
                <w:rFonts w:ascii="Arial" w:hAnsi="Arial"/>
                <w:lang w:val="es-ES"/>
              </w:rPr>
              <w:t>9503.00.31</w:t>
            </w:r>
          </w:p>
        </w:tc>
        <w:tc>
          <w:tcPr>
            <w:tcW w:w="7632" w:type="dxa"/>
          </w:tcPr>
          <w:p w:rsidR="00A135EC" w:rsidRPr="00C57243" w:rsidRDefault="00A135EC" w:rsidP="003E5718">
            <w:pPr>
              <w:spacing w:line="280" w:lineRule="auto"/>
              <w:rPr>
                <w:lang w:val="es-ES"/>
              </w:rPr>
            </w:pPr>
            <w:r w:rsidRPr="00C57243">
              <w:rPr>
                <w:rFonts w:ascii="Arial" w:hAnsi="Arial"/>
                <w:lang w:val="es-ES"/>
              </w:rPr>
              <w:t>Rellenos</w:t>
            </w:r>
          </w:p>
        </w:tc>
      </w:tr>
      <w:tr w:rsidR="00A135EC" w:rsidRPr="00C57243" w:rsidTr="003E5718">
        <w:trPr>
          <w:trHeight w:val="170"/>
        </w:trPr>
        <w:tc>
          <w:tcPr>
            <w:tcW w:w="1510" w:type="dxa"/>
          </w:tcPr>
          <w:p w:rsidR="00A135EC" w:rsidRPr="00C57243" w:rsidRDefault="00A135EC" w:rsidP="003E5718">
            <w:pPr>
              <w:spacing w:line="276" w:lineRule="auto"/>
              <w:rPr>
                <w:rFonts w:ascii="Arial" w:hAnsi="Arial"/>
                <w:lang w:val="es-ES"/>
              </w:rPr>
            </w:pPr>
            <w:r w:rsidRPr="00C57243">
              <w:rPr>
                <w:rFonts w:ascii="Arial" w:hAnsi="Arial"/>
                <w:lang w:val="es-ES"/>
              </w:rPr>
              <w:t>9503.00.39</w:t>
            </w:r>
          </w:p>
        </w:tc>
        <w:tc>
          <w:tcPr>
            <w:tcW w:w="7632" w:type="dxa"/>
          </w:tcPr>
          <w:p w:rsidR="00A135EC" w:rsidRPr="00C57243" w:rsidRDefault="00A135EC" w:rsidP="003E5718">
            <w:pPr>
              <w:spacing w:line="280" w:lineRule="auto"/>
              <w:rPr>
                <w:lang w:val="es-ES"/>
              </w:rPr>
            </w:pPr>
            <w:r w:rsidRPr="00C57243">
              <w:rPr>
                <w:rFonts w:ascii="Arial" w:hAnsi="Arial"/>
                <w:lang w:val="es-ES"/>
              </w:rPr>
              <w:t>Los demás</w:t>
            </w:r>
          </w:p>
        </w:tc>
      </w:tr>
      <w:tr w:rsidR="00A135EC" w:rsidRPr="00C4692F" w:rsidTr="003E5718">
        <w:trPr>
          <w:trHeight w:val="170"/>
        </w:trPr>
        <w:tc>
          <w:tcPr>
            <w:tcW w:w="1510" w:type="dxa"/>
          </w:tcPr>
          <w:p w:rsidR="00A135EC" w:rsidRPr="00C57243" w:rsidRDefault="00A135EC" w:rsidP="003E5718">
            <w:pPr>
              <w:spacing w:line="276" w:lineRule="auto"/>
              <w:rPr>
                <w:rFonts w:ascii="Arial" w:hAnsi="Arial"/>
                <w:lang w:val="es-ES"/>
              </w:rPr>
            </w:pPr>
            <w:r w:rsidRPr="00C57243">
              <w:rPr>
                <w:rFonts w:ascii="Arial" w:hAnsi="Arial"/>
                <w:lang w:val="es-ES"/>
              </w:rPr>
              <w:t>9503.00.40</w:t>
            </w:r>
          </w:p>
        </w:tc>
        <w:tc>
          <w:tcPr>
            <w:tcW w:w="7632" w:type="dxa"/>
          </w:tcPr>
          <w:p w:rsidR="00A135EC" w:rsidRPr="00C57243" w:rsidRDefault="00A135EC" w:rsidP="003E5718">
            <w:pPr>
              <w:spacing w:line="280" w:lineRule="auto"/>
              <w:rPr>
                <w:lang w:val="es-ES"/>
              </w:rPr>
            </w:pPr>
            <w:r w:rsidRPr="00C57243">
              <w:rPr>
                <w:rFonts w:ascii="Arial" w:hAnsi="Arial"/>
                <w:lang w:val="es-ES"/>
              </w:rPr>
              <w:t xml:space="preserve">Trenes eléctricos, incluidos los carriles (rieles), señales (semáforos) y demás accesorios  </w:t>
            </w:r>
          </w:p>
        </w:tc>
      </w:tr>
      <w:tr w:rsidR="00A135EC" w:rsidRPr="00C4692F" w:rsidTr="003E5718">
        <w:trPr>
          <w:trHeight w:val="170"/>
        </w:trPr>
        <w:tc>
          <w:tcPr>
            <w:tcW w:w="1510" w:type="dxa"/>
          </w:tcPr>
          <w:p w:rsidR="00A135EC" w:rsidRPr="00C57243" w:rsidRDefault="00A135EC" w:rsidP="003E5718">
            <w:pPr>
              <w:spacing w:line="276" w:lineRule="auto"/>
              <w:rPr>
                <w:rFonts w:ascii="Arial" w:hAnsi="Arial"/>
                <w:lang w:val="es-ES"/>
              </w:rPr>
            </w:pPr>
            <w:r w:rsidRPr="00C57243">
              <w:rPr>
                <w:rFonts w:ascii="Arial" w:hAnsi="Arial"/>
                <w:lang w:val="es-ES"/>
              </w:rPr>
              <w:t>9503.00.50</w:t>
            </w:r>
          </w:p>
        </w:tc>
        <w:tc>
          <w:tcPr>
            <w:tcW w:w="7632" w:type="dxa"/>
          </w:tcPr>
          <w:p w:rsidR="00A135EC" w:rsidRPr="00C57243" w:rsidRDefault="00A135EC" w:rsidP="003E5718">
            <w:pPr>
              <w:spacing w:line="280" w:lineRule="auto"/>
              <w:rPr>
                <w:lang w:val="es-ES"/>
              </w:rPr>
            </w:pPr>
            <w:r w:rsidRPr="00C57243">
              <w:rPr>
                <w:rFonts w:ascii="Arial" w:hAnsi="Arial"/>
                <w:lang w:val="es-ES"/>
              </w:rPr>
              <w:t>Modelos reducidos para ensamblar, incluso animados, excepto los del ítem 9503.00.40</w:t>
            </w:r>
          </w:p>
        </w:tc>
      </w:tr>
      <w:tr w:rsidR="00A135EC" w:rsidRPr="00C4692F" w:rsidTr="003E5718">
        <w:trPr>
          <w:trHeight w:val="113"/>
        </w:trPr>
        <w:tc>
          <w:tcPr>
            <w:tcW w:w="1510" w:type="dxa"/>
          </w:tcPr>
          <w:p w:rsidR="00A135EC" w:rsidRPr="00C57243" w:rsidRDefault="00A135EC" w:rsidP="003E5718">
            <w:pPr>
              <w:spacing w:line="276" w:lineRule="auto"/>
              <w:rPr>
                <w:rFonts w:ascii="Arial" w:hAnsi="Arial"/>
                <w:lang w:val="es-ES"/>
              </w:rPr>
            </w:pPr>
            <w:r w:rsidRPr="00C57243">
              <w:rPr>
                <w:rFonts w:ascii="Arial" w:hAnsi="Arial"/>
                <w:lang w:val="es-ES"/>
              </w:rPr>
              <w:t>9503.00.60</w:t>
            </w:r>
          </w:p>
        </w:tc>
        <w:tc>
          <w:tcPr>
            <w:tcW w:w="7632" w:type="dxa"/>
          </w:tcPr>
          <w:p w:rsidR="00A135EC" w:rsidRPr="00C57243" w:rsidRDefault="00A135EC" w:rsidP="003E5718">
            <w:pPr>
              <w:spacing w:line="280" w:lineRule="auto"/>
              <w:rPr>
                <w:lang w:val="es-ES"/>
              </w:rPr>
            </w:pPr>
            <w:r w:rsidRPr="00C57243">
              <w:rPr>
                <w:rFonts w:ascii="Arial" w:hAnsi="Arial"/>
                <w:lang w:val="es-ES"/>
              </w:rPr>
              <w:t>Los demás juegos o surtidos y juguetes para construcción</w:t>
            </w:r>
          </w:p>
        </w:tc>
      </w:tr>
      <w:tr w:rsidR="00A135EC" w:rsidRPr="00C57243" w:rsidTr="003E5718">
        <w:trPr>
          <w:trHeight w:val="170"/>
        </w:trPr>
        <w:tc>
          <w:tcPr>
            <w:tcW w:w="1510" w:type="dxa"/>
          </w:tcPr>
          <w:p w:rsidR="00A135EC" w:rsidRPr="00C57243" w:rsidRDefault="00A135EC" w:rsidP="003E5718">
            <w:pPr>
              <w:spacing w:line="276" w:lineRule="auto"/>
              <w:rPr>
                <w:rFonts w:ascii="Arial" w:hAnsi="Arial"/>
                <w:lang w:val="es-ES"/>
              </w:rPr>
            </w:pPr>
            <w:r w:rsidRPr="00C57243">
              <w:rPr>
                <w:rFonts w:ascii="Arial" w:hAnsi="Arial"/>
                <w:lang w:val="es-ES"/>
              </w:rPr>
              <w:t>9503.00.70</w:t>
            </w:r>
          </w:p>
        </w:tc>
        <w:tc>
          <w:tcPr>
            <w:tcW w:w="7632" w:type="dxa"/>
          </w:tcPr>
          <w:p w:rsidR="00A135EC" w:rsidRPr="00C57243" w:rsidRDefault="00A135EC" w:rsidP="003E5718">
            <w:pPr>
              <w:spacing w:line="280" w:lineRule="auto"/>
              <w:rPr>
                <w:lang w:val="es-ES"/>
              </w:rPr>
            </w:pPr>
            <w:r w:rsidRPr="00C57243">
              <w:rPr>
                <w:rFonts w:ascii="Arial" w:hAnsi="Arial"/>
                <w:lang w:val="es-ES"/>
              </w:rPr>
              <w:t>Rompecabezas (“</w:t>
            </w:r>
            <w:proofErr w:type="spellStart"/>
            <w:r w:rsidRPr="00C57243">
              <w:rPr>
                <w:rFonts w:ascii="Arial" w:hAnsi="Arial"/>
                <w:lang w:val="es-ES"/>
              </w:rPr>
              <w:t>puzzles</w:t>
            </w:r>
            <w:proofErr w:type="spellEnd"/>
            <w:r w:rsidRPr="00C57243">
              <w:rPr>
                <w:rFonts w:ascii="Arial" w:hAnsi="Arial"/>
                <w:lang w:val="es-ES"/>
              </w:rPr>
              <w:t>”)</w:t>
            </w:r>
          </w:p>
        </w:tc>
      </w:tr>
      <w:tr w:rsidR="00A135EC" w:rsidRPr="00C4692F" w:rsidTr="003E5718">
        <w:trPr>
          <w:trHeight w:val="170"/>
        </w:trPr>
        <w:tc>
          <w:tcPr>
            <w:tcW w:w="1510" w:type="dxa"/>
          </w:tcPr>
          <w:p w:rsidR="00A135EC" w:rsidRPr="00C57243" w:rsidRDefault="00A135EC" w:rsidP="003E5718">
            <w:pPr>
              <w:spacing w:line="276" w:lineRule="auto"/>
              <w:rPr>
                <w:rFonts w:ascii="Arial" w:hAnsi="Arial"/>
                <w:lang w:val="es-ES"/>
              </w:rPr>
            </w:pPr>
            <w:r w:rsidRPr="00C57243">
              <w:rPr>
                <w:rFonts w:ascii="Arial" w:hAnsi="Arial"/>
                <w:lang w:val="es-ES"/>
              </w:rPr>
              <w:t>9503.00.80</w:t>
            </w:r>
          </w:p>
        </w:tc>
        <w:tc>
          <w:tcPr>
            <w:tcW w:w="7632" w:type="dxa"/>
          </w:tcPr>
          <w:p w:rsidR="00A135EC" w:rsidRPr="00C57243" w:rsidRDefault="00A135EC" w:rsidP="003E5718">
            <w:pPr>
              <w:spacing w:line="280" w:lineRule="auto"/>
              <w:rPr>
                <w:vanish/>
                <w:lang w:val="es-ES"/>
              </w:rPr>
            </w:pPr>
            <w:r w:rsidRPr="00C57243">
              <w:rPr>
                <w:rFonts w:ascii="Arial" w:hAnsi="Arial"/>
                <w:lang w:val="es-ES"/>
              </w:rPr>
              <w:t xml:space="preserve">Los demás juguetes, presentados en juegos o surtidos en panoplias </w:t>
            </w:r>
          </w:p>
        </w:tc>
      </w:tr>
      <w:tr w:rsidR="00A135EC" w:rsidRPr="00C57243" w:rsidTr="003E5718">
        <w:trPr>
          <w:trHeight w:val="170"/>
        </w:trPr>
        <w:tc>
          <w:tcPr>
            <w:tcW w:w="1510" w:type="dxa"/>
          </w:tcPr>
          <w:p w:rsidR="00A135EC" w:rsidRPr="00C57243" w:rsidRDefault="00A135EC" w:rsidP="003E5718">
            <w:pPr>
              <w:spacing w:line="276" w:lineRule="auto"/>
              <w:rPr>
                <w:rFonts w:ascii="Arial" w:hAnsi="Arial"/>
                <w:lang w:val="es-ES"/>
              </w:rPr>
            </w:pPr>
            <w:r w:rsidRPr="00C57243">
              <w:rPr>
                <w:rFonts w:ascii="Arial" w:hAnsi="Arial"/>
                <w:lang w:val="es-ES"/>
              </w:rPr>
              <w:t>9503.00.91</w:t>
            </w:r>
          </w:p>
        </w:tc>
        <w:tc>
          <w:tcPr>
            <w:tcW w:w="7632" w:type="dxa"/>
          </w:tcPr>
          <w:p w:rsidR="00A135EC" w:rsidRPr="00C57243" w:rsidRDefault="00A135EC" w:rsidP="003E5718">
            <w:pPr>
              <w:spacing w:line="280" w:lineRule="auto"/>
              <w:rPr>
                <w:lang w:val="es-ES"/>
              </w:rPr>
            </w:pPr>
            <w:r w:rsidRPr="00C57243">
              <w:rPr>
                <w:rFonts w:ascii="Arial" w:hAnsi="Arial"/>
                <w:lang w:val="es-ES"/>
              </w:rPr>
              <w:t xml:space="preserve">Instrumentos y aparatos de música, de juguete </w:t>
            </w:r>
          </w:p>
        </w:tc>
      </w:tr>
      <w:tr w:rsidR="00A135EC" w:rsidRPr="00C4692F" w:rsidTr="003E5718">
        <w:trPr>
          <w:trHeight w:val="170"/>
        </w:trPr>
        <w:tc>
          <w:tcPr>
            <w:tcW w:w="1510" w:type="dxa"/>
          </w:tcPr>
          <w:p w:rsidR="00A135EC" w:rsidRPr="00C57243" w:rsidRDefault="00A135EC" w:rsidP="003E5718">
            <w:pPr>
              <w:spacing w:line="276" w:lineRule="auto"/>
              <w:rPr>
                <w:rFonts w:ascii="Arial" w:hAnsi="Arial"/>
                <w:lang w:val="es-ES"/>
              </w:rPr>
            </w:pPr>
            <w:r w:rsidRPr="00C57243">
              <w:rPr>
                <w:rFonts w:ascii="Arial" w:hAnsi="Arial"/>
                <w:lang w:val="es-ES"/>
              </w:rPr>
              <w:t>9503.00.97</w:t>
            </w:r>
          </w:p>
        </w:tc>
        <w:tc>
          <w:tcPr>
            <w:tcW w:w="7632" w:type="dxa"/>
          </w:tcPr>
          <w:p w:rsidR="00A135EC" w:rsidRPr="00C57243" w:rsidRDefault="00A135EC" w:rsidP="003E5718">
            <w:pPr>
              <w:spacing w:line="280" w:lineRule="auto"/>
              <w:rPr>
                <w:lang w:val="es-ES"/>
              </w:rPr>
            </w:pPr>
            <w:r w:rsidRPr="00C57243">
              <w:rPr>
                <w:rFonts w:ascii="Arial" w:hAnsi="Arial"/>
                <w:lang w:val="es-ES"/>
              </w:rPr>
              <w:t>Los demás, con motor eléctrico</w:t>
            </w:r>
          </w:p>
        </w:tc>
      </w:tr>
      <w:tr w:rsidR="00A135EC" w:rsidRPr="00C4692F" w:rsidTr="003E5718">
        <w:trPr>
          <w:trHeight w:val="170"/>
        </w:trPr>
        <w:tc>
          <w:tcPr>
            <w:tcW w:w="1510" w:type="dxa"/>
          </w:tcPr>
          <w:p w:rsidR="00A135EC" w:rsidRPr="00C57243" w:rsidRDefault="00A135EC" w:rsidP="003E5718">
            <w:pPr>
              <w:spacing w:line="276" w:lineRule="auto"/>
              <w:rPr>
                <w:rFonts w:ascii="Arial" w:hAnsi="Arial"/>
                <w:lang w:val="es-ES"/>
              </w:rPr>
            </w:pPr>
            <w:r w:rsidRPr="00C57243">
              <w:rPr>
                <w:rFonts w:ascii="Arial" w:hAnsi="Arial"/>
                <w:lang w:val="es-ES"/>
              </w:rPr>
              <w:t>9503.00.98</w:t>
            </w:r>
          </w:p>
        </w:tc>
        <w:tc>
          <w:tcPr>
            <w:tcW w:w="7632" w:type="dxa"/>
          </w:tcPr>
          <w:p w:rsidR="00A135EC" w:rsidRPr="00C57243" w:rsidRDefault="00A135EC" w:rsidP="003E5718">
            <w:pPr>
              <w:spacing w:line="280" w:lineRule="auto"/>
              <w:rPr>
                <w:lang w:val="es-ES"/>
              </w:rPr>
            </w:pPr>
            <w:r w:rsidRPr="00C57243">
              <w:rPr>
                <w:rFonts w:ascii="Arial" w:hAnsi="Arial"/>
                <w:lang w:val="es-ES"/>
              </w:rPr>
              <w:t>Los demás, con motor no eléctrico</w:t>
            </w:r>
          </w:p>
        </w:tc>
      </w:tr>
      <w:tr w:rsidR="00A135EC" w:rsidRPr="001E4053" w:rsidTr="003E5718">
        <w:trPr>
          <w:trHeight w:val="170"/>
        </w:trPr>
        <w:tc>
          <w:tcPr>
            <w:tcW w:w="1510" w:type="dxa"/>
          </w:tcPr>
          <w:p w:rsidR="00A135EC" w:rsidRPr="00C57243" w:rsidRDefault="00A135EC" w:rsidP="003E5718">
            <w:pPr>
              <w:spacing w:line="276" w:lineRule="auto"/>
              <w:rPr>
                <w:rFonts w:ascii="Arial" w:hAnsi="Arial"/>
                <w:lang w:val="es-ES"/>
              </w:rPr>
            </w:pPr>
            <w:r w:rsidRPr="00C57243">
              <w:rPr>
                <w:rFonts w:ascii="Arial" w:hAnsi="Arial"/>
                <w:lang w:val="es-ES"/>
              </w:rPr>
              <w:t>9503.00.99</w:t>
            </w:r>
          </w:p>
        </w:tc>
        <w:tc>
          <w:tcPr>
            <w:tcW w:w="7632" w:type="dxa"/>
          </w:tcPr>
          <w:p w:rsidR="00A135EC" w:rsidRPr="001E4053" w:rsidRDefault="00A135EC" w:rsidP="003E5718">
            <w:pPr>
              <w:spacing w:line="280" w:lineRule="auto"/>
              <w:rPr>
                <w:lang w:val="es-ES"/>
              </w:rPr>
            </w:pPr>
            <w:r w:rsidRPr="00C57243">
              <w:rPr>
                <w:rFonts w:ascii="Arial" w:hAnsi="Arial"/>
                <w:lang w:val="es-ES"/>
              </w:rPr>
              <w:t>Los demás</w:t>
            </w:r>
          </w:p>
        </w:tc>
      </w:tr>
    </w:tbl>
    <w:p w:rsidR="00A135EC" w:rsidRPr="001E4053" w:rsidRDefault="00A135EC" w:rsidP="00A135EC">
      <w:pPr>
        <w:rPr>
          <w:rFonts w:ascii="Arial" w:hAnsi="Arial"/>
          <w:lang w:val="es-ES"/>
        </w:rPr>
      </w:pPr>
    </w:p>
    <w:p w:rsidR="00A135EC" w:rsidRPr="001E4053" w:rsidRDefault="00A135EC" w:rsidP="00A135EC">
      <w:pPr>
        <w:rPr>
          <w:lang w:val="es-ES"/>
        </w:rPr>
      </w:pPr>
    </w:p>
    <w:p w:rsidR="00A135EC" w:rsidRPr="001E4053" w:rsidRDefault="00A135EC" w:rsidP="00A135EC">
      <w:pPr>
        <w:jc w:val="right"/>
        <w:rPr>
          <w:rFonts w:ascii="Arial" w:hAnsi="Arial"/>
          <w:b/>
          <w:lang w:val="es-ES"/>
        </w:rPr>
      </w:pPr>
    </w:p>
    <w:p w:rsidR="00A135EC" w:rsidRPr="002E71BF" w:rsidRDefault="00A135EC" w:rsidP="002E71BF">
      <w:pPr>
        <w:ind w:right="849"/>
        <w:jc w:val="right"/>
        <w:rPr>
          <w:rFonts w:ascii="Arial" w:hAnsi="Arial" w:cs="Arial"/>
          <w:b/>
          <w:sz w:val="24"/>
          <w:szCs w:val="24"/>
          <w:lang w:val="es-AR"/>
        </w:rPr>
      </w:pPr>
    </w:p>
    <w:p w:rsidR="00A135EC" w:rsidRPr="007026A0" w:rsidRDefault="00A135EC" w:rsidP="00A135EC">
      <w:pPr>
        <w:autoSpaceDE w:val="0"/>
        <w:autoSpaceDN w:val="0"/>
        <w:adjustRightInd w:val="0"/>
        <w:jc w:val="center"/>
        <w:rPr>
          <w:rFonts w:ascii="Arial-BoldMT" w:hAnsi="Arial-BoldMT"/>
          <w:b/>
          <w:sz w:val="24"/>
          <w:szCs w:val="24"/>
          <w:lang w:val="es-ES"/>
        </w:rPr>
      </w:pPr>
    </w:p>
    <w:p w:rsidR="00DB6E08" w:rsidRPr="00112B63" w:rsidRDefault="00DB6E08" w:rsidP="009816E8">
      <w:pPr>
        <w:pStyle w:val="Textoindependiente"/>
        <w:ind w:left="851" w:right="849"/>
        <w:rPr>
          <w:rFonts w:cs="Arial"/>
          <w:b/>
          <w:lang w:val="es-AR"/>
        </w:rPr>
      </w:pPr>
    </w:p>
    <w:sectPr w:rsidR="00DB6E08" w:rsidRPr="00112B63" w:rsidSect="00D058A9">
      <w:footerReference w:type="default" r:id="rId8"/>
      <w:footerReference w:type="first" r:id="rId9"/>
      <w:pgSz w:w="11906" w:h="16838"/>
      <w:pgMar w:top="1582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43C" w:rsidRDefault="0074743C" w:rsidP="000D7A53">
      <w:r>
        <w:separator/>
      </w:r>
    </w:p>
  </w:endnote>
  <w:endnote w:type="continuationSeparator" w:id="0">
    <w:p w:rsidR="0074743C" w:rsidRDefault="0074743C" w:rsidP="000D7A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ADE" w:rsidRDefault="003D21BB">
    <w:pPr>
      <w:pStyle w:val="Piedepgina"/>
      <w:jc w:val="right"/>
    </w:pPr>
    <w:r>
      <w:fldChar w:fldCharType="begin"/>
    </w:r>
    <w:r w:rsidR="000414D8">
      <w:instrText>PAGE   \* MERGEFORMAT</w:instrText>
    </w:r>
    <w:r>
      <w:fldChar w:fldCharType="separate"/>
    </w:r>
    <w:r w:rsidR="00C4692F">
      <w:rPr>
        <w:noProof/>
      </w:rPr>
      <w:t>2</w:t>
    </w:r>
    <w:r>
      <w:rPr>
        <w:noProof/>
      </w:rPr>
      <w:fldChar w:fldCharType="end"/>
    </w:r>
  </w:p>
  <w:p w:rsidR="006F3ADE" w:rsidRDefault="006F3ADE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6917973"/>
      <w:docPartObj>
        <w:docPartGallery w:val="Page Numbers (Bottom of Page)"/>
        <w:docPartUnique/>
      </w:docPartObj>
    </w:sdtPr>
    <w:sdtContent>
      <w:p w:rsidR="00C30384" w:rsidRDefault="003D21BB">
        <w:pPr>
          <w:pStyle w:val="Piedepgina"/>
          <w:jc w:val="right"/>
        </w:pPr>
        <w:fldSimple w:instr=" PAGE   \* MERGEFORMAT ">
          <w:r w:rsidR="00C4692F">
            <w:rPr>
              <w:noProof/>
            </w:rPr>
            <w:t>1</w:t>
          </w:r>
        </w:fldSimple>
      </w:p>
    </w:sdtContent>
  </w:sdt>
  <w:p w:rsidR="00C30384" w:rsidRDefault="00C3038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43C" w:rsidRDefault="0074743C" w:rsidP="000D7A53">
      <w:r>
        <w:separator/>
      </w:r>
    </w:p>
  </w:footnote>
  <w:footnote w:type="continuationSeparator" w:id="0">
    <w:p w:rsidR="0074743C" w:rsidRDefault="0074743C" w:rsidP="000D7A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617C3"/>
    <w:multiLevelType w:val="hybridMultilevel"/>
    <w:tmpl w:val="3A7897DC"/>
    <w:lvl w:ilvl="0" w:tplc="38D01522"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1D0F"/>
    <w:rsid w:val="000153B8"/>
    <w:rsid w:val="000154F6"/>
    <w:rsid w:val="000218D8"/>
    <w:rsid w:val="00021AFD"/>
    <w:rsid w:val="00025E20"/>
    <w:rsid w:val="00037232"/>
    <w:rsid w:val="00040E78"/>
    <w:rsid w:val="000414D8"/>
    <w:rsid w:val="00053E9A"/>
    <w:rsid w:val="00063261"/>
    <w:rsid w:val="0006708D"/>
    <w:rsid w:val="000D07F8"/>
    <w:rsid w:val="000D5771"/>
    <w:rsid w:val="000D6DB5"/>
    <w:rsid w:val="000D702E"/>
    <w:rsid w:val="000D7A53"/>
    <w:rsid w:val="00111634"/>
    <w:rsid w:val="0011289E"/>
    <w:rsid w:val="00112B63"/>
    <w:rsid w:val="00112E5E"/>
    <w:rsid w:val="00114F7B"/>
    <w:rsid w:val="00136089"/>
    <w:rsid w:val="0013785E"/>
    <w:rsid w:val="00141D0F"/>
    <w:rsid w:val="00145F36"/>
    <w:rsid w:val="00151D08"/>
    <w:rsid w:val="00175539"/>
    <w:rsid w:val="001907AC"/>
    <w:rsid w:val="001A7AE2"/>
    <w:rsid w:val="001B59ED"/>
    <w:rsid w:val="001C5FCE"/>
    <w:rsid w:val="001D1743"/>
    <w:rsid w:val="001D3E58"/>
    <w:rsid w:val="001E0076"/>
    <w:rsid w:val="001F5E62"/>
    <w:rsid w:val="00237FBC"/>
    <w:rsid w:val="00260C91"/>
    <w:rsid w:val="0026681A"/>
    <w:rsid w:val="00270080"/>
    <w:rsid w:val="002A0853"/>
    <w:rsid w:val="002A6CA0"/>
    <w:rsid w:val="002C3D5C"/>
    <w:rsid w:val="002D1958"/>
    <w:rsid w:val="002E2D8D"/>
    <w:rsid w:val="002E3F67"/>
    <w:rsid w:val="002E6C7F"/>
    <w:rsid w:val="002E71BF"/>
    <w:rsid w:val="002F1C01"/>
    <w:rsid w:val="00336B3F"/>
    <w:rsid w:val="00342C43"/>
    <w:rsid w:val="00342FB1"/>
    <w:rsid w:val="00343AC5"/>
    <w:rsid w:val="0035772D"/>
    <w:rsid w:val="003624EB"/>
    <w:rsid w:val="00367C83"/>
    <w:rsid w:val="00373D75"/>
    <w:rsid w:val="00380D72"/>
    <w:rsid w:val="00391750"/>
    <w:rsid w:val="003C02BC"/>
    <w:rsid w:val="003C2270"/>
    <w:rsid w:val="003C27A2"/>
    <w:rsid w:val="003D21BB"/>
    <w:rsid w:val="003D2950"/>
    <w:rsid w:val="003D54D9"/>
    <w:rsid w:val="003D7343"/>
    <w:rsid w:val="003E39DC"/>
    <w:rsid w:val="003E3EC7"/>
    <w:rsid w:val="003F0D5D"/>
    <w:rsid w:val="00412FBD"/>
    <w:rsid w:val="00443163"/>
    <w:rsid w:val="0045581F"/>
    <w:rsid w:val="004635B6"/>
    <w:rsid w:val="00470BA6"/>
    <w:rsid w:val="004717F6"/>
    <w:rsid w:val="00483ADF"/>
    <w:rsid w:val="00486CD8"/>
    <w:rsid w:val="004917D5"/>
    <w:rsid w:val="004A25EB"/>
    <w:rsid w:val="004D2CBF"/>
    <w:rsid w:val="004F3128"/>
    <w:rsid w:val="004F4AA3"/>
    <w:rsid w:val="00505FF4"/>
    <w:rsid w:val="00524B55"/>
    <w:rsid w:val="00553CE4"/>
    <w:rsid w:val="00563155"/>
    <w:rsid w:val="005763F0"/>
    <w:rsid w:val="005926C0"/>
    <w:rsid w:val="005A6C44"/>
    <w:rsid w:val="005C3692"/>
    <w:rsid w:val="005F6014"/>
    <w:rsid w:val="006060E1"/>
    <w:rsid w:val="006065E2"/>
    <w:rsid w:val="0061474A"/>
    <w:rsid w:val="006273CA"/>
    <w:rsid w:val="0063079C"/>
    <w:rsid w:val="00635906"/>
    <w:rsid w:val="00647B7E"/>
    <w:rsid w:val="00673630"/>
    <w:rsid w:val="006A64D5"/>
    <w:rsid w:val="006B5989"/>
    <w:rsid w:val="006C1169"/>
    <w:rsid w:val="006C7A0A"/>
    <w:rsid w:val="006D4DAA"/>
    <w:rsid w:val="006D77A6"/>
    <w:rsid w:val="006E0653"/>
    <w:rsid w:val="006F3ADE"/>
    <w:rsid w:val="00705AD2"/>
    <w:rsid w:val="007229DA"/>
    <w:rsid w:val="00730547"/>
    <w:rsid w:val="00744549"/>
    <w:rsid w:val="00744DCF"/>
    <w:rsid w:val="0074743C"/>
    <w:rsid w:val="007746A1"/>
    <w:rsid w:val="00790A83"/>
    <w:rsid w:val="007946A8"/>
    <w:rsid w:val="007A4264"/>
    <w:rsid w:val="007A612C"/>
    <w:rsid w:val="007C05C7"/>
    <w:rsid w:val="007C610F"/>
    <w:rsid w:val="007D1232"/>
    <w:rsid w:val="007D239E"/>
    <w:rsid w:val="007D6E50"/>
    <w:rsid w:val="007F0E30"/>
    <w:rsid w:val="007F36B9"/>
    <w:rsid w:val="007F47AC"/>
    <w:rsid w:val="008021C4"/>
    <w:rsid w:val="00830B2F"/>
    <w:rsid w:val="00832DFF"/>
    <w:rsid w:val="00847EC8"/>
    <w:rsid w:val="00860D60"/>
    <w:rsid w:val="00877DC8"/>
    <w:rsid w:val="008946E6"/>
    <w:rsid w:val="008B630C"/>
    <w:rsid w:val="008F22C1"/>
    <w:rsid w:val="008F6634"/>
    <w:rsid w:val="009056D9"/>
    <w:rsid w:val="009609E3"/>
    <w:rsid w:val="00966269"/>
    <w:rsid w:val="0097154A"/>
    <w:rsid w:val="009816E8"/>
    <w:rsid w:val="009A5391"/>
    <w:rsid w:val="009B4F22"/>
    <w:rsid w:val="009B6FFE"/>
    <w:rsid w:val="009D0D6D"/>
    <w:rsid w:val="009D3445"/>
    <w:rsid w:val="009D58FF"/>
    <w:rsid w:val="009E06F4"/>
    <w:rsid w:val="009F0A55"/>
    <w:rsid w:val="00A135EC"/>
    <w:rsid w:val="00A27EC7"/>
    <w:rsid w:val="00A367E8"/>
    <w:rsid w:val="00A36B1A"/>
    <w:rsid w:val="00A630A0"/>
    <w:rsid w:val="00AB3383"/>
    <w:rsid w:val="00AB68DB"/>
    <w:rsid w:val="00AE07D4"/>
    <w:rsid w:val="00AE6A86"/>
    <w:rsid w:val="00B13910"/>
    <w:rsid w:val="00B40017"/>
    <w:rsid w:val="00B435B9"/>
    <w:rsid w:val="00B71FF4"/>
    <w:rsid w:val="00B91E38"/>
    <w:rsid w:val="00BB2977"/>
    <w:rsid w:val="00BB5639"/>
    <w:rsid w:val="00BC0E0E"/>
    <w:rsid w:val="00BF6110"/>
    <w:rsid w:val="00C00FF5"/>
    <w:rsid w:val="00C104B3"/>
    <w:rsid w:val="00C30384"/>
    <w:rsid w:val="00C4692F"/>
    <w:rsid w:val="00C556B6"/>
    <w:rsid w:val="00C57243"/>
    <w:rsid w:val="00C60222"/>
    <w:rsid w:val="00C645B0"/>
    <w:rsid w:val="00C70ECE"/>
    <w:rsid w:val="00C71CC0"/>
    <w:rsid w:val="00C74E4B"/>
    <w:rsid w:val="00C94857"/>
    <w:rsid w:val="00D00410"/>
    <w:rsid w:val="00D058A9"/>
    <w:rsid w:val="00D3566E"/>
    <w:rsid w:val="00D42D14"/>
    <w:rsid w:val="00D45228"/>
    <w:rsid w:val="00D464CA"/>
    <w:rsid w:val="00D801EF"/>
    <w:rsid w:val="00DA06D6"/>
    <w:rsid w:val="00DA1B58"/>
    <w:rsid w:val="00DA2780"/>
    <w:rsid w:val="00DB6E08"/>
    <w:rsid w:val="00DC0648"/>
    <w:rsid w:val="00DF03F2"/>
    <w:rsid w:val="00DF0CB3"/>
    <w:rsid w:val="00E07152"/>
    <w:rsid w:val="00E07F27"/>
    <w:rsid w:val="00E17ECF"/>
    <w:rsid w:val="00E2104F"/>
    <w:rsid w:val="00E325E2"/>
    <w:rsid w:val="00E33C0C"/>
    <w:rsid w:val="00E57A5C"/>
    <w:rsid w:val="00E863DF"/>
    <w:rsid w:val="00E9226C"/>
    <w:rsid w:val="00EC76EF"/>
    <w:rsid w:val="00ED3611"/>
    <w:rsid w:val="00EF1D00"/>
    <w:rsid w:val="00EF3998"/>
    <w:rsid w:val="00F06215"/>
    <w:rsid w:val="00F25BC5"/>
    <w:rsid w:val="00F549C4"/>
    <w:rsid w:val="00F61C7E"/>
    <w:rsid w:val="00F71064"/>
    <w:rsid w:val="00F71BF4"/>
    <w:rsid w:val="00F77DA5"/>
    <w:rsid w:val="00F82354"/>
    <w:rsid w:val="00F929D9"/>
    <w:rsid w:val="00F939AC"/>
    <w:rsid w:val="00FA787E"/>
    <w:rsid w:val="00FB1395"/>
    <w:rsid w:val="00FC7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D0F"/>
    <w:rPr>
      <w:rFonts w:ascii="Times New Roman" w:eastAsia="Times New Roman" w:hAnsi="Times New Roman"/>
      <w:lang w:val="pt-BR" w:eastAsia="pt-BR"/>
    </w:rPr>
  </w:style>
  <w:style w:type="paragraph" w:styleId="Ttulo1">
    <w:name w:val="heading 1"/>
    <w:basedOn w:val="Normal"/>
    <w:next w:val="Normal"/>
    <w:link w:val="Ttulo1Car"/>
    <w:qFormat/>
    <w:rsid w:val="00141D0F"/>
    <w:pPr>
      <w:keepNext/>
      <w:suppressAutoHyphens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ar"/>
    <w:qFormat/>
    <w:rsid w:val="00141D0F"/>
    <w:pPr>
      <w:keepNext/>
      <w:suppressAutoHyphens/>
      <w:jc w:val="center"/>
      <w:outlineLvl w:val="1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141D0F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ar">
    <w:name w:val="Título 2 Car"/>
    <w:link w:val="Ttulo2"/>
    <w:rsid w:val="00141D0F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extoindependiente">
    <w:name w:val="Body Text"/>
    <w:basedOn w:val="Normal"/>
    <w:link w:val="TextoindependienteCar"/>
    <w:rsid w:val="00141D0F"/>
    <w:pPr>
      <w:suppressAutoHyphens/>
      <w:jc w:val="both"/>
    </w:pPr>
    <w:rPr>
      <w:rFonts w:ascii="Arial" w:hAnsi="Arial"/>
      <w:sz w:val="24"/>
    </w:rPr>
  </w:style>
  <w:style w:type="character" w:customStyle="1" w:styleId="TextoindependienteCar">
    <w:name w:val="Texto independiente Car"/>
    <w:link w:val="Textoindependiente"/>
    <w:rsid w:val="00141D0F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Corpodetexto21">
    <w:name w:val="Corpo de texto 21"/>
    <w:basedOn w:val="Normal"/>
    <w:rsid w:val="00141D0F"/>
    <w:pPr>
      <w:suppressAutoHyphens/>
      <w:jc w:val="both"/>
    </w:pPr>
    <w:rPr>
      <w:rFonts w:ascii="Arial" w:hAnsi="Arial"/>
      <w:b/>
      <w:sz w:val="24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141D0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rsid w:val="00141D0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ista">
    <w:name w:val="List"/>
    <w:basedOn w:val="Textoindependiente"/>
    <w:semiHidden/>
    <w:rsid w:val="00141D0F"/>
  </w:style>
  <w:style w:type="paragraph" w:styleId="Textodeglobo">
    <w:name w:val="Balloon Text"/>
    <w:basedOn w:val="Normal"/>
    <w:link w:val="TextodegloboCar"/>
    <w:uiPriority w:val="99"/>
    <w:semiHidden/>
    <w:unhideWhenUsed/>
    <w:rsid w:val="00F71BF4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71BF4"/>
    <w:rPr>
      <w:rFonts w:ascii="Tahoma" w:eastAsia="Times New Roman" w:hAnsi="Tahoma" w:cs="Tahoma"/>
      <w:sz w:val="16"/>
      <w:szCs w:val="16"/>
      <w:lang w:val="pt-BR" w:eastAsia="pt-BR"/>
    </w:rPr>
  </w:style>
  <w:style w:type="paragraph" w:styleId="Encabezado">
    <w:name w:val="header"/>
    <w:basedOn w:val="Normal"/>
    <w:link w:val="EncabezadoCar"/>
    <w:uiPriority w:val="99"/>
    <w:unhideWhenUsed/>
    <w:rsid w:val="000D7A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0D7A53"/>
    <w:rPr>
      <w:rFonts w:ascii="Times New Roman" w:eastAsia="Times New Roman" w:hAnsi="Times New Roman"/>
    </w:rPr>
  </w:style>
  <w:style w:type="paragraph" w:styleId="Piedepgina">
    <w:name w:val="footer"/>
    <w:basedOn w:val="Normal"/>
    <w:link w:val="PiedepginaCar"/>
    <w:uiPriority w:val="99"/>
    <w:unhideWhenUsed/>
    <w:rsid w:val="000D7A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0D7A53"/>
    <w:rPr>
      <w:rFonts w:ascii="Times New Roman" w:eastAsia="Times New Roman" w:hAnsi="Times New Roman"/>
    </w:rPr>
  </w:style>
  <w:style w:type="character" w:styleId="Refdecomentario">
    <w:name w:val="annotation reference"/>
    <w:semiHidden/>
    <w:rsid w:val="00F77DA5"/>
    <w:rPr>
      <w:sz w:val="16"/>
      <w:szCs w:val="16"/>
    </w:rPr>
  </w:style>
  <w:style w:type="paragraph" w:styleId="Textocomentario">
    <w:name w:val="annotation text"/>
    <w:basedOn w:val="Normal"/>
    <w:semiHidden/>
    <w:rsid w:val="00F77DA5"/>
  </w:style>
  <w:style w:type="paragraph" w:styleId="Asuntodelcomentario">
    <w:name w:val="annotation subject"/>
    <w:basedOn w:val="Textocomentario"/>
    <w:next w:val="Textocomentario"/>
    <w:semiHidden/>
    <w:rsid w:val="00F77DA5"/>
    <w:rPr>
      <w:b/>
      <w:bCs/>
    </w:rPr>
  </w:style>
  <w:style w:type="paragraph" w:styleId="NormalWeb">
    <w:name w:val="Normal (Web)"/>
    <w:basedOn w:val="Normal"/>
    <w:uiPriority w:val="99"/>
    <w:rsid w:val="00D058A9"/>
    <w:pPr>
      <w:widowControl w:val="0"/>
      <w:spacing w:before="100" w:after="100"/>
    </w:pPr>
    <w:rPr>
      <w:sz w:val="24"/>
      <w:lang w:eastAsia="es-ES"/>
    </w:rPr>
  </w:style>
  <w:style w:type="paragraph" w:styleId="Textonotapie">
    <w:name w:val="footnote text"/>
    <w:basedOn w:val="Normal"/>
    <w:semiHidden/>
    <w:rsid w:val="0063079C"/>
  </w:style>
  <w:style w:type="character" w:styleId="Refdenotaalpie">
    <w:name w:val="footnote reference"/>
    <w:semiHidden/>
    <w:rsid w:val="0063079C"/>
    <w:rPr>
      <w:vertAlign w:val="superscript"/>
    </w:rPr>
  </w:style>
  <w:style w:type="paragraph" w:customStyle="1" w:styleId="Default">
    <w:name w:val="Default"/>
    <w:rsid w:val="004F4AA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t-BR" w:eastAsia="pt-BR"/>
    </w:rPr>
  </w:style>
  <w:style w:type="paragraph" w:styleId="Prrafodelista">
    <w:name w:val="List Paragraph"/>
    <w:basedOn w:val="Normal"/>
    <w:uiPriority w:val="34"/>
    <w:qFormat/>
    <w:rsid w:val="009056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D0F"/>
    <w:rPr>
      <w:rFonts w:ascii="Times New Roman" w:eastAsia="Times New Roman" w:hAnsi="Times New Roman"/>
      <w:lang w:val="pt-BR" w:eastAsia="pt-BR"/>
    </w:rPr>
  </w:style>
  <w:style w:type="paragraph" w:styleId="Ttulo1">
    <w:name w:val="heading 1"/>
    <w:basedOn w:val="Normal"/>
    <w:next w:val="Normal"/>
    <w:link w:val="Ttulo1Car"/>
    <w:qFormat/>
    <w:rsid w:val="00141D0F"/>
    <w:pPr>
      <w:keepNext/>
      <w:suppressAutoHyphens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ar"/>
    <w:qFormat/>
    <w:rsid w:val="00141D0F"/>
    <w:pPr>
      <w:keepNext/>
      <w:suppressAutoHyphens/>
      <w:jc w:val="center"/>
      <w:outlineLvl w:val="1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141D0F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ar">
    <w:name w:val="Título 2 Car"/>
    <w:link w:val="Ttulo2"/>
    <w:rsid w:val="00141D0F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extoindependiente">
    <w:name w:val="Body Text"/>
    <w:basedOn w:val="Normal"/>
    <w:link w:val="TextoindependienteCar"/>
    <w:rsid w:val="00141D0F"/>
    <w:pPr>
      <w:suppressAutoHyphens/>
      <w:jc w:val="both"/>
    </w:pPr>
    <w:rPr>
      <w:rFonts w:ascii="Arial" w:hAnsi="Arial"/>
      <w:sz w:val="24"/>
    </w:rPr>
  </w:style>
  <w:style w:type="character" w:customStyle="1" w:styleId="TextoindependienteCar">
    <w:name w:val="Texto independiente Car"/>
    <w:link w:val="Textoindependiente"/>
    <w:rsid w:val="00141D0F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Corpodetexto21">
    <w:name w:val="Corpo de texto 21"/>
    <w:basedOn w:val="Normal"/>
    <w:rsid w:val="00141D0F"/>
    <w:pPr>
      <w:suppressAutoHyphens/>
      <w:jc w:val="both"/>
    </w:pPr>
    <w:rPr>
      <w:rFonts w:ascii="Arial" w:hAnsi="Arial"/>
      <w:b/>
      <w:sz w:val="24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141D0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rsid w:val="00141D0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ista">
    <w:name w:val="List"/>
    <w:basedOn w:val="Textoindependiente"/>
    <w:semiHidden/>
    <w:rsid w:val="00141D0F"/>
  </w:style>
  <w:style w:type="paragraph" w:styleId="Textodeglobo">
    <w:name w:val="Balloon Text"/>
    <w:basedOn w:val="Normal"/>
    <w:link w:val="TextodegloboCar"/>
    <w:uiPriority w:val="99"/>
    <w:semiHidden/>
    <w:unhideWhenUsed/>
    <w:rsid w:val="00F71BF4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71BF4"/>
    <w:rPr>
      <w:rFonts w:ascii="Tahoma" w:eastAsia="Times New Roman" w:hAnsi="Tahoma" w:cs="Tahoma"/>
      <w:sz w:val="16"/>
      <w:szCs w:val="16"/>
      <w:lang w:val="pt-BR" w:eastAsia="pt-BR"/>
    </w:rPr>
  </w:style>
  <w:style w:type="paragraph" w:styleId="Encabezado">
    <w:name w:val="header"/>
    <w:basedOn w:val="Normal"/>
    <w:link w:val="EncabezadoCar"/>
    <w:uiPriority w:val="99"/>
    <w:unhideWhenUsed/>
    <w:rsid w:val="000D7A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0D7A53"/>
    <w:rPr>
      <w:rFonts w:ascii="Times New Roman" w:eastAsia="Times New Roman" w:hAnsi="Times New Roman"/>
    </w:rPr>
  </w:style>
  <w:style w:type="paragraph" w:styleId="Piedepgina">
    <w:name w:val="footer"/>
    <w:basedOn w:val="Normal"/>
    <w:link w:val="PiedepginaCar"/>
    <w:uiPriority w:val="99"/>
    <w:unhideWhenUsed/>
    <w:rsid w:val="000D7A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0D7A53"/>
    <w:rPr>
      <w:rFonts w:ascii="Times New Roman" w:eastAsia="Times New Roman" w:hAnsi="Times New Roman"/>
    </w:rPr>
  </w:style>
  <w:style w:type="character" w:styleId="Refdecomentario">
    <w:name w:val="annotation reference"/>
    <w:semiHidden/>
    <w:rsid w:val="00F77DA5"/>
    <w:rPr>
      <w:sz w:val="16"/>
      <w:szCs w:val="16"/>
    </w:rPr>
  </w:style>
  <w:style w:type="paragraph" w:styleId="Textocomentario">
    <w:name w:val="annotation text"/>
    <w:basedOn w:val="Normal"/>
    <w:semiHidden/>
    <w:rsid w:val="00F77DA5"/>
  </w:style>
  <w:style w:type="paragraph" w:styleId="Asuntodelcomentario">
    <w:name w:val="annotation subject"/>
    <w:basedOn w:val="Textocomentario"/>
    <w:next w:val="Textocomentario"/>
    <w:semiHidden/>
    <w:rsid w:val="00F77DA5"/>
    <w:rPr>
      <w:b/>
      <w:bCs/>
    </w:rPr>
  </w:style>
  <w:style w:type="paragraph" w:styleId="NormalWeb">
    <w:name w:val="Normal (Web)"/>
    <w:basedOn w:val="Normal"/>
    <w:uiPriority w:val="99"/>
    <w:rsid w:val="00D058A9"/>
    <w:pPr>
      <w:widowControl w:val="0"/>
      <w:spacing w:before="100" w:after="100"/>
    </w:pPr>
    <w:rPr>
      <w:sz w:val="24"/>
      <w:lang w:eastAsia="es-ES"/>
    </w:rPr>
  </w:style>
  <w:style w:type="paragraph" w:styleId="Textonotapie">
    <w:name w:val="footnote text"/>
    <w:basedOn w:val="Normal"/>
    <w:semiHidden/>
    <w:rsid w:val="0063079C"/>
  </w:style>
  <w:style w:type="character" w:styleId="Refdenotaalpie">
    <w:name w:val="footnote reference"/>
    <w:semiHidden/>
    <w:rsid w:val="0063079C"/>
    <w:rPr>
      <w:vertAlign w:val="superscript"/>
    </w:rPr>
  </w:style>
  <w:style w:type="paragraph" w:customStyle="1" w:styleId="Default">
    <w:name w:val="Default"/>
    <w:rsid w:val="004F4AA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t-BR" w:eastAsia="pt-BR"/>
    </w:rPr>
  </w:style>
  <w:style w:type="paragraph" w:styleId="Prrafodelista">
    <w:name w:val="List Paragraph"/>
    <w:basedOn w:val="Normal"/>
    <w:uiPriority w:val="34"/>
    <w:qFormat/>
    <w:rsid w:val="009056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2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00FC99-8A7B-44B7-AC40-C8D035A54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791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MERCOSUR/XL GMC EXT/DT N° 27/12</vt:lpstr>
    </vt:vector>
  </TitlesOfParts>
  <Company>Grizli777</Company>
  <LinksUpToDate>false</LinksUpToDate>
  <CharactersWithSpaces>5133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MERCOSUR/XL GMC EXT/DT N° 27/12</dc:title>
  <dc:creator>TRADU-SOM</dc:creator>
  <cp:lastModifiedBy>CUMBRE</cp:lastModifiedBy>
  <cp:revision>25</cp:revision>
  <cp:lastPrinted>2014-12-16T22:50:00Z</cp:lastPrinted>
  <dcterms:created xsi:type="dcterms:W3CDTF">2014-12-16T13:28:00Z</dcterms:created>
  <dcterms:modified xsi:type="dcterms:W3CDTF">2014-12-16T22:51:00Z</dcterms:modified>
</cp:coreProperties>
</file>