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A86" w:rsidRDefault="00744A86" w:rsidP="00744A86">
      <w:pPr>
        <w:pStyle w:val="Ttulo"/>
        <w:rPr>
          <w:rFonts w:ascii="Arial" w:hAnsi="Arial" w:cs="Arial"/>
        </w:rPr>
      </w:pPr>
      <w:r>
        <w:rPr>
          <w:rFonts w:ascii="Arial" w:hAnsi="Arial" w:cs="Arial"/>
        </w:rPr>
        <w:t>Principales temas abordados en la Reunión Ordinaria del Consejo Mercado Común (CMC)</w:t>
      </w:r>
    </w:p>
    <w:p w:rsidR="00744A86" w:rsidRDefault="00744A86" w:rsidP="00744A86">
      <w:pPr>
        <w:pStyle w:val="Ttulo"/>
        <w:rPr>
          <w:rFonts w:ascii="Arial" w:hAnsi="Arial" w:cs="Arial"/>
        </w:rPr>
      </w:pPr>
    </w:p>
    <w:p w:rsidR="00744A86" w:rsidRDefault="0037781D" w:rsidP="00744A86">
      <w:pPr>
        <w:pStyle w:val="Ttulo"/>
        <w:rPr>
          <w:rFonts w:ascii="Arial" w:hAnsi="Arial" w:cs="Arial"/>
        </w:rPr>
      </w:pPr>
      <w:r>
        <w:rPr>
          <w:rFonts w:ascii="Arial" w:hAnsi="Arial" w:cs="Arial"/>
        </w:rPr>
        <w:t>Paraná</w:t>
      </w:r>
      <w:r w:rsidR="00744A86">
        <w:rPr>
          <w:rFonts w:ascii="Arial" w:hAnsi="Arial" w:cs="Arial"/>
        </w:rPr>
        <w:t>, 1</w:t>
      </w:r>
      <w:r>
        <w:rPr>
          <w:rFonts w:ascii="Arial" w:hAnsi="Arial" w:cs="Arial"/>
        </w:rPr>
        <w:t>6</w:t>
      </w:r>
      <w:r w:rsidR="00744A86">
        <w:rPr>
          <w:rFonts w:ascii="Arial" w:hAnsi="Arial" w:cs="Arial"/>
        </w:rPr>
        <w:t xml:space="preserve"> de </w:t>
      </w:r>
      <w:r>
        <w:rPr>
          <w:rFonts w:ascii="Arial" w:hAnsi="Arial" w:cs="Arial"/>
        </w:rPr>
        <w:t>diciembre</w:t>
      </w:r>
      <w:r w:rsidR="00744A86">
        <w:rPr>
          <w:rFonts w:ascii="Arial" w:hAnsi="Arial" w:cs="Arial"/>
        </w:rPr>
        <w:t xml:space="preserve"> de 201</w:t>
      </w:r>
      <w:r>
        <w:rPr>
          <w:rFonts w:ascii="Arial" w:hAnsi="Arial" w:cs="Arial"/>
        </w:rPr>
        <w:t>4</w:t>
      </w:r>
    </w:p>
    <w:p w:rsidR="00744A86" w:rsidRDefault="00744A86" w:rsidP="00916B18">
      <w:pPr>
        <w:pStyle w:val="Ttulo"/>
        <w:jc w:val="left"/>
        <w:rPr>
          <w:rFonts w:ascii="Arial" w:hAnsi="Arial" w:cs="Arial"/>
        </w:rPr>
      </w:pPr>
    </w:p>
    <w:p w:rsidR="00486EBF" w:rsidRDefault="00486EBF" w:rsidP="00916B18">
      <w:pPr>
        <w:pStyle w:val="Ttulo"/>
        <w:jc w:val="left"/>
        <w:rPr>
          <w:rFonts w:ascii="Arial" w:hAnsi="Arial" w:cs="Arial"/>
        </w:rPr>
      </w:pPr>
    </w:p>
    <w:p w:rsidR="00C20969" w:rsidRDefault="00C20969" w:rsidP="00BF4587">
      <w:pPr>
        <w:pStyle w:val="Ttulo2"/>
        <w:numPr>
          <w:ilvl w:val="0"/>
          <w:numId w:val="2"/>
        </w:numPr>
        <w:rPr>
          <w:i/>
          <w:iCs/>
          <w:u w:val="none"/>
        </w:rPr>
      </w:pPr>
      <w:r>
        <w:rPr>
          <w:i/>
          <w:iCs/>
          <w:u w:val="none"/>
        </w:rPr>
        <w:t>Parlamento MERCOSUR</w:t>
      </w:r>
    </w:p>
    <w:p w:rsidR="00BF4587" w:rsidRDefault="00BF4587" w:rsidP="00BF4587">
      <w:pPr>
        <w:spacing w:after="0" w:line="240" w:lineRule="auto"/>
        <w:ind w:left="709"/>
        <w:jc w:val="both"/>
        <w:rPr>
          <w:rFonts w:ascii="Arial" w:eastAsia="Calibri" w:hAnsi="Arial" w:cs="Arial"/>
          <w:bCs/>
          <w:color w:val="000000"/>
          <w:lang w:val="es-UY"/>
        </w:rPr>
      </w:pPr>
    </w:p>
    <w:p w:rsidR="00C20969" w:rsidRDefault="00C20969" w:rsidP="00BF4587">
      <w:pPr>
        <w:spacing w:after="0" w:line="240" w:lineRule="auto"/>
        <w:ind w:left="709"/>
        <w:jc w:val="both"/>
        <w:rPr>
          <w:rFonts w:ascii="Arial" w:eastAsia="Calibri" w:hAnsi="Arial" w:cs="Arial"/>
          <w:bCs/>
          <w:color w:val="000000"/>
          <w:lang w:val="es-UY"/>
        </w:rPr>
      </w:pPr>
      <w:r w:rsidRPr="00BF4587">
        <w:rPr>
          <w:rFonts w:ascii="Arial" w:eastAsia="Calibri" w:hAnsi="Arial" w:cs="Arial"/>
          <w:bCs/>
          <w:color w:val="000000"/>
          <w:lang w:val="es-UY"/>
        </w:rPr>
        <w:t xml:space="preserve">Se ha incorporado Venezuela al Parlamento del MERCOSUR </w:t>
      </w:r>
    </w:p>
    <w:p w:rsidR="00BF4587" w:rsidRPr="00BF4587" w:rsidRDefault="00BF4587" w:rsidP="00BF4587">
      <w:pPr>
        <w:spacing w:after="0" w:line="240" w:lineRule="auto"/>
        <w:ind w:left="709"/>
        <w:jc w:val="both"/>
        <w:rPr>
          <w:rFonts w:ascii="Arial" w:eastAsia="Calibri" w:hAnsi="Arial" w:cs="Arial"/>
          <w:bCs/>
          <w:color w:val="000000"/>
          <w:lang w:val="es-UY"/>
        </w:rPr>
      </w:pPr>
    </w:p>
    <w:p w:rsidR="00744A86" w:rsidRDefault="00744A86" w:rsidP="00BF4587">
      <w:pPr>
        <w:pStyle w:val="Ttulo2"/>
        <w:numPr>
          <w:ilvl w:val="0"/>
          <w:numId w:val="2"/>
        </w:numPr>
        <w:rPr>
          <w:i/>
          <w:iCs/>
          <w:u w:val="none"/>
        </w:rPr>
      </w:pPr>
      <w:r w:rsidRPr="00430916">
        <w:rPr>
          <w:i/>
          <w:iCs/>
          <w:u w:val="none"/>
        </w:rPr>
        <w:t xml:space="preserve">Decisiones </w:t>
      </w:r>
      <w:r>
        <w:rPr>
          <w:i/>
          <w:iCs/>
          <w:u w:val="none"/>
        </w:rPr>
        <w:t xml:space="preserve">de interés </w:t>
      </w:r>
      <w:r w:rsidRPr="00430916">
        <w:rPr>
          <w:i/>
          <w:iCs/>
          <w:u w:val="none"/>
        </w:rPr>
        <w:t>aprobadas</w:t>
      </w:r>
      <w:r>
        <w:rPr>
          <w:i/>
          <w:iCs/>
          <w:u w:val="none"/>
        </w:rPr>
        <w:t>:</w:t>
      </w:r>
    </w:p>
    <w:p w:rsidR="00916B18" w:rsidRDefault="00916B18" w:rsidP="00BF4587">
      <w:pPr>
        <w:spacing w:after="0" w:line="240" w:lineRule="auto"/>
        <w:rPr>
          <w:rFonts w:ascii="Calibri" w:eastAsia="Calibri" w:hAnsi="Calibri" w:cs="Times New Roman"/>
          <w:lang w:val="es-ES" w:eastAsia="es-ES"/>
        </w:rPr>
      </w:pPr>
    </w:p>
    <w:p w:rsidR="00F11E7B" w:rsidRDefault="00F11E7B" w:rsidP="00F11E7B">
      <w:pPr>
        <w:pStyle w:val="Prrafodelista"/>
        <w:numPr>
          <w:ilvl w:val="0"/>
          <w:numId w:val="1"/>
        </w:numPr>
        <w:spacing w:after="0" w:line="240" w:lineRule="auto"/>
        <w:jc w:val="both"/>
        <w:rPr>
          <w:rFonts w:ascii="Arial" w:eastAsia="Times New Roman" w:hAnsi="Arial" w:cs="Arial"/>
          <w:szCs w:val="24"/>
          <w:u w:val="single"/>
          <w:lang w:val="es-ES" w:eastAsia="es-ES"/>
        </w:rPr>
      </w:pPr>
      <w:proofErr w:type="spellStart"/>
      <w:r w:rsidRPr="00916B18">
        <w:rPr>
          <w:rFonts w:ascii="Arial" w:eastAsia="Times New Roman" w:hAnsi="Arial" w:cs="Arial"/>
          <w:szCs w:val="24"/>
          <w:u w:val="single"/>
          <w:lang w:val="es-ES" w:eastAsia="es-ES"/>
        </w:rPr>
        <w:t>Dec</w:t>
      </w:r>
      <w:proofErr w:type="spellEnd"/>
      <w:r w:rsidRPr="00916B18">
        <w:rPr>
          <w:rFonts w:ascii="Arial" w:eastAsia="Times New Roman" w:hAnsi="Arial" w:cs="Arial"/>
          <w:szCs w:val="24"/>
          <w:u w:val="single"/>
          <w:lang w:val="es-ES" w:eastAsia="es-ES"/>
        </w:rPr>
        <w:t xml:space="preserve">. CMC Nº </w:t>
      </w:r>
      <w:r>
        <w:rPr>
          <w:rFonts w:ascii="Arial" w:eastAsia="Times New Roman" w:hAnsi="Arial" w:cs="Arial"/>
          <w:szCs w:val="24"/>
          <w:u w:val="single"/>
          <w:lang w:val="es-ES" w:eastAsia="es-ES"/>
        </w:rPr>
        <w:t>3</w:t>
      </w:r>
      <w:r w:rsidRPr="00916B18">
        <w:rPr>
          <w:rFonts w:ascii="Arial" w:eastAsia="Times New Roman" w:hAnsi="Arial" w:cs="Arial"/>
          <w:szCs w:val="24"/>
          <w:u w:val="single"/>
          <w:lang w:val="es-ES" w:eastAsia="es-ES"/>
        </w:rPr>
        <w:t>2/14 “</w:t>
      </w:r>
      <w:r>
        <w:rPr>
          <w:rFonts w:ascii="Arial" w:eastAsia="Times New Roman" w:hAnsi="Arial" w:cs="Arial"/>
          <w:szCs w:val="24"/>
          <w:u w:val="single"/>
          <w:lang w:val="es-ES" w:eastAsia="es-ES"/>
        </w:rPr>
        <w:t>Complementación y articulación MERCOSUR - UNASUR”</w:t>
      </w:r>
    </w:p>
    <w:p w:rsidR="00F11E7B" w:rsidRDefault="00F11E7B" w:rsidP="00BF4587">
      <w:pPr>
        <w:spacing w:after="0" w:line="240" w:lineRule="auto"/>
        <w:rPr>
          <w:rFonts w:ascii="Calibri" w:eastAsia="Calibri" w:hAnsi="Calibri" w:cs="Times New Roman"/>
          <w:lang w:val="es-ES" w:eastAsia="es-ES"/>
        </w:rPr>
      </w:pPr>
    </w:p>
    <w:p w:rsidR="00F11E7B" w:rsidRDefault="00AC2361" w:rsidP="00AC2361">
      <w:pPr>
        <w:ind w:left="709"/>
        <w:jc w:val="both"/>
        <w:rPr>
          <w:rFonts w:ascii="Arial" w:hAnsi="Arial" w:cs="Arial"/>
          <w:lang w:val="es-ES_tradnl"/>
        </w:rPr>
      </w:pPr>
      <w:r>
        <w:rPr>
          <w:rFonts w:ascii="Arial" w:hAnsi="Arial" w:cs="Arial"/>
          <w:lang w:val="es-ES_tradnl"/>
        </w:rPr>
        <w:t xml:space="preserve">Esta normativa aprobó los lineamientos </w:t>
      </w:r>
      <w:r w:rsidR="00520180" w:rsidRPr="00520180">
        <w:rPr>
          <w:rFonts w:ascii="Arial" w:eastAsia="Calibri" w:hAnsi="Arial" w:cs="Arial"/>
          <w:lang w:val="es-ES_tradnl"/>
        </w:rPr>
        <w:t xml:space="preserve">para la complementación y articulación </w:t>
      </w:r>
      <w:r>
        <w:rPr>
          <w:rFonts w:ascii="Arial" w:hAnsi="Arial" w:cs="Arial"/>
          <w:lang w:val="es-ES_tradnl"/>
        </w:rPr>
        <w:t xml:space="preserve">del </w:t>
      </w:r>
      <w:r w:rsidR="00520180" w:rsidRPr="00520180">
        <w:rPr>
          <w:rFonts w:ascii="Arial" w:eastAsia="Calibri" w:hAnsi="Arial" w:cs="Arial"/>
          <w:lang w:val="es-ES_tradnl"/>
        </w:rPr>
        <w:t>MERCOSUR</w:t>
      </w:r>
      <w:r>
        <w:rPr>
          <w:rFonts w:ascii="Arial" w:hAnsi="Arial" w:cs="Arial"/>
          <w:lang w:val="es-ES_tradnl"/>
        </w:rPr>
        <w:t xml:space="preserve"> y la </w:t>
      </w:r>
      <w:r w:rsidR="00520180" w:rsidRPr="00520180">
        <w:rPr>
          <w:rFonts w:ascii="Arial" w:eastAsia="Calibri" w:hAnsi="Arial" w:cs="Arial"/>
          <w:lang w:val="es-ES_tradnl"/>
        </w:rPr>
        <w:t>UNASUR.</w:t>
      </w:r>
    </w:p>
    <w:p w:rsidR="00AC2361" w:rsidRDefault="00AC2361" w:rsidP="00AC2361">
      <w:pPr>
        <w:pStyle w:val="Prrafodelista"/>
        <w:numPr>
          <w:ilvl w:val="0"/>
          <w:numId w:val="1"/>
        </w:numPr>
        <w:spacing w:after="0" w:line="240" w:lineRule="auto"/>
        <w:jc w:val="both"/>
        <w:rPr>
          <w:rFonts w:ascii="Arial" w:eastAsia="Times New Roman" w:hAnsi="Arial" w:cs="Arial"/>
          <w:szCs w:val="24"/>
          <w:u w:val="single"/>
          <w:lang w:val="es-ES" w:eastAsia="es-ES"/>
        </w:rPr>
      </w:pPr>
      <w:proofErr w:type="spellStart"/>
      <w:r w:rsidRPr="00916B18">
        <w:rPr>
          <w:rFonts w:ascii="Arial" w:eastAsia="Times New Roman" w:hAnsi="Arial" w:cs="Arial"/>
          <w:szCs w:val="24"/>
          <w:u w:val="single"/>
          <w:lang w:val="es-ES" w:eastAsia="es-ES"/>
        </w:rPr>
        <w:t>Dec</w:t>
      </w:r>
      <w:proofErr w:type="spellEnd"/>
      <w:r w:rsidRPr="00916B18">
        <w:rPr>
          <w:rFonts w:ascii="Arial" w:eastAsia="Times New Roman" w:hAnsi="Arial" w:cs="Arial"/>
          <w:szCs w:val="24"/>
          <w:u w:val="single"/>
          <w:lang w:val="es-ES" w:eastAsia="es-ES"/>
        </w:rPr>
        <w:t xml:space="preserve">. CMC Nº </w:t>
      </w:r>
      <w:r>
        <w:rPr>
          <w:rFonts w:ascii="Arial" w:eastAsia="Times New Roman" w:hAnsi="Arial" w:cs="Arial"/>
          <w:szCs w:val="24"/>
          <w:u w:val="single"/>
          <w:lang w:val="es-ES" w:eastAsia="es-ES"/>
        </w:rPr>
        <w:t>34</w:t>
      </w:r>
      <w:r w:rsidRPr="00916B18">
        <w:rPr>
          <w:rFonts w:ascii="Arial" w:eastAsia="Times New Roman" w:hAnsi="Arial" w:cs="Arial"/>
          <w:szCs w:val="24"/>
          <w:u w:val="single"/>
          <w:lang w:val="es-ES" w:eastAsia="es-ES"/>
        </w:rPr>
        <w:t>/14 “</w:t>
      </w:r>
      <w:r>
        <w:rPr>
          <w:rFonts w:ascii="Arial" w:eastAsia="Times New Roman" w:hAnsi="Arial" w:cs="Arial"/>
          <w:szCs w:val="24"/>
          <w:u w:val="single"/>
          <w:lang w:val="es-ES" w:eastAsia="es-ES"/>
        </w:rPr>
        <w:t>Mecanismo de fortalecimiento productivo del MERCOSUR - UNASUR”</w:t>
      </w:r>
    </w:p>
    <w:p w:rsidR="00AC2361" w:rsidRDefault="00AC2361" w:rsidP="00AC2361">
      <w:pPr>
        <w:spacing w:after="0" w:line="240" w:lineRule="auto"/>
        <w:rPr>
          <w:rFonts w:ascii="Calibri" w:eastAsia="Calibri" w:hAnsi="Calibri" w:cs="Times New Roman"/>
          <w:lang w:val="es-ES" w:eastAsia="es-ES"/>
        </w:rPr>
      </w:pPr>
    </w:p>
    <w:p w:rsidR="00AC2361" w:rsidRDefault="004C7988" w:rsidP="00AC2361">
      <w:pPr>
        <w:ind w:left="709"/>
        <w:jc w:val="both"/>
        <w:rPr>
          <w:rFonts w:ascii="Arial" w:hAnsi="Arial" w:cs="Arial"/>
          <w:lang w:val="es-ES_tradnl"/>
        </w:rPr>
      </w:pPr>
      <w:r>
        <w:rPr>
          <w:rFonts w:ascii="Arial" w:hAnsi="Arial" w:cs="Arial"/>
          <w:lang w:val="es-ES"/>
        </w:rPr>
        <w:t>Se aprobó el</w:t>
      </w:r>
      <w:r w:rsidRPr="004C7988">
        <w:rPr>
          <w:rFonts w:ascii="Arial" w:eastAsia="Calibri" w:hAnsi="Arial" w:cs="Arial"/>
          <w:lang w:val="es-ES_tradnl"/>
        </w:rPr>
        <w:t xml:space="preserve"> Mecanismo de Fortalec</w:t>
      </w:r>
      <w:r>
        <w:rPr>
          <w:rFonts w:ascii="Arial" w:hAnsi="Arial" w:cs="Arial"/>
          <w:lang w:val="es-ES_tradnl"/>
        </w:rPr>
        <w:t>imiento Productivo del MERCOSUR</w:t>
      </w:r>
      <w:r w:rsidRPr="004C7988">
        <w:rPr>
          <w:rFonts w:ascii="Arial" w:eastAsia="Calibri" w:hAnsi="Arial" w:cs="Arial"/>
          <w:lang w:val="es-ES_tradnl"/>
        </w:rPr>
        <w:t>, destinado a promover el desarrollo de acciones integradas para el fortalecimiento de capacidades productivas conjuntas, en sectores que serán identificados de común acuerdo, con el objetivo de contribuir a que la dinámica del intercambio comercial responda a las necesidades y aspiraciones de todos los Estados Partes</w:t>
      </w:r>
      <w:r>
        <w:rPr>
          <w:rFonts w:ascii="Arial" w:hAnsi="Arial" w:cs="Arial"/>
          <w:lang w:val="es-ES_tradnl"/>
        </w:rPr>
        <w:t>.</w:t>
      </w:r>
    </w:p>
    <w:p w:rsidR="00F11E7B" w:rsidRDefault="004C7988" w:rsidP="004C7988">
      <w:pPr>
        <w:ind w:left="709"/>
        <w:jc w:val="both"/>
        <w:rPr>
          <w:rFonts w:ascii="Arial" w:hAnsi="Arial" w:cs="Arial"/>
          <w:lang w:val="es-ES_tradnl"/>
        </w:rPr>
      </w:pPr>
      <w:r>
        <w:rPr>
          <w:rFonts w:ascii="Arial" w:hAnsi="Arial" w:cs="Arial"/>
          <w:lang w:val="es-ES_tradnl"/>
        </w:rPr>
        <w:t>Asimismo, en esta norma reglamentó este Mecanismo.</w:t>
      </w:r>
    </w:p>
    <w:p w:rsidR="00D52DED" w:rsidRDefault="00D52DED" w:rsidP="00D52DED">
      <w:pPr>
        <w:pStyle w:val="Prrafodelista"/>
        <w:numPr>
          <w:ilvl w:val="0"/>
          <w:numId w:val="1"/>
        </w:numPr>
        <w:spacing w:after="0" w:line="240" w:lineRule="auto"/>
        <w:jc w:val="both"/>
        <w:rPr>
          <w:rFonts w:ascii="Arial" w:eastAsia="Times New Roman" w:hAnsi="Arial" w:cs="Arial"/>
          <w:szCs w:val="24"/>
          <w:u w:val="single"/>
          <w:lang w:val="es-ES" w:eastAsia="es-ES"/>
        </w:rPr>
      </w:pPr>
      <w:proofErr w:type="spellStart"/>
      <w:r w:rsidRPr="00916B18">
        <w:rPr>
          <w:rFonts w:ascii="Arial" w:eastAsia="Times New Roman" w:hAnsi="Arial" w:cs="Arial"/>
          <w:szCs w:val="24"/>
          <w:u w:val="single"/>
          <w:lang w:val="es-ES" w:eastAsia="es-ES"/>
        </w:rPr>
        <w:t>Dec</w:t>
      </w:r>
      <w:proofErr w:type="spellEnd"/>
      <w:r w:rsidRPr="00916B18">
        <w:rPr>
          <w:rFonts w:ascii="Arial" w:eastAsia="Times New Roman" w:hAnsi="Arial" w:cs="Arial"/>
          <w:szCs w:val="24"/>
          <w:u w:val="single"/>
          <w:lang w:val="es-ES" w:eastAsia="es-ES"/>
        </w:rPr>
        <w:t xml:space="preserve">. CMC Nº </w:t>
      </w:r>
      <w:r>
        <w:rPr>
          <w:rFonts w:ascii="Arial" w:eastAsia="Times New Roman" w:hAnsi="Arial" w:cs="Arial"/>
          <w:szCs w:val="24"/>
          <w:u w:val="single"/>
          <w:lang w:val="es-ES" w:eastAsia="es-ES"/>
        </w:rPr>
        <w:t>35</w:t>
      </w:r>
      <w:r w:rsidRPr="00916B18">
        <w:rPr>
          <w:rFonts w:ascii="Arial" w:eastAsia="Times New Roman" w:hAnsi="Arial" w:cs="Arial"/>
          <w:szCs w:val="24"/>
          <w:u w:val="single"/>
          <w:lang w:val="es-ES" w:eastAsia="es-ES"/>
        </w:rPr>
        <w:t>/14 “</w:t>
      </w:r>
      <w:r>
        <w:rPr>
          <w:rFonts w:ascii="Arial" w:eastAsia="Times New Roman" w:hAnsi="Arial" w:cs="Arial"/>
          <w:szCs w:val="24"/>
          <w:u w:val="single"/>
          <w:lang w:val="es-ES" w:eastAsia="es-ES"/>
        </w:rPr>
        <w:t>Prórroga regímenes especiales de importación”</w:t>
      </w:r>
    </w:p>
    <w:p w:rsidR="00D52DED" w:rsidRDefault="00D52DED" w:rsidP="00D52DED">
      <w:pPr>
        <w:spacing w:after="0" w:line="240" w:lineRule="auto"/>
        <w:rPr>
          <w:rFonts w:ascii="Calibri" w:eastAsia="Calibri" w:hAnsi="Calibri" w:cs="Times New Roman"/>
          <w:lang w:val="es-ES" w:eastAsia="es-ES"/>
        </w:rPr>
      </w:pPr>
    </w:p>
    <w:p w:rsidR="00D52DED" w:rsidRDefault="00D52DED" w:rsidP="00D52DED">
      <w:pPr>
        <w:tabs>
          <w:tab w:val="left" w:pos="142"/>
        </w:tabs>
        <w:ind w:left="709" w:right="49"/>
        <w:jc w:val="both"/>
        <w:rPr>
          <w:rFonts w:ascii="Arial" w:hAnsi="Arial" w:cs="Arial"/>
          <w:lang w:val="es-ES"/>
        </w:rPr>
      </w:pPr>
      <w:r>
        <w:rPr>
          <w:rFonts w:ascii="Arial" w:hAnsi="Arial" w:cs="Arial"/>
          <w:lang w:val="es-ES"/>
        </w:rPr>
        <w:t>Se prorrogó</w:t>
      </w:r>
      <w:r w:rsidRPr="00D52DED">
        <w:rPr>
          <w:rFonts w:ascii="Arial" w:hAnsi="Arial" w:cs="Arial"/>
          <w:lang w:val="es-ES"/>
        </w:rPr>
        <w:t xml:space="preserve"> hasta el 30 de junio de 2015 la Decisión CMC N° 39/11 “Acciones Puntuales en el Ámbito Arancelario por razones de desequilibrios comerciales derivados de la coyuntura económica internacional”.</w:t>
      </w:r>
    </w:p>
    <w:p w:rsidR="00D52DED" w:rsidRPr="00A04A62" w:rsidRDefault="00D52DED" w:rsidP="00D52DED">
      <w:pPr>
        <w:ind w:left="709"/>
        <w:jc w:val="both"/>
        <w:rPr>
          <w:i/>
          <w:lang w:val="es-ES_tradnl"/>
        </w:rPr>
      </w:pPr>
      <w:r w:rsidRPr="00A04A62">
        <w:rPr>
          <w:i/>
          <w:lang w:val="es-ES_tradnl"/>
        </w:rPr>
        <w:t>Sobre este punto, cabe mencionar que en octubre pasado se publicó en el Boletín Oficial el Decreto Nº 1676/14 elevando únicamente el DIE para diez posiciones arancelarias, de las cuales dos corresponden a nuestro sector, a saber: 1) NCM 8480.41.00 “Moldes para metales o carburos metálicos; para el moldeo por inyección o compresión” y NCM 8903.99.00 “Yates y demás barcos y embarcaciones para recreo o deporte, barcas (botes) de remo y canoas; los demás”.</w:t>
      </w:r>
    </w:p>
    <w:p w:rsidR="00D52DED" w:rsidRPr="00A04A62" w:rsidRDefault="00D52DED" w:rsidP="00D52DED">
      <w:pPr>
        <w:ind w:left="709"/>
        <w:jc w:val="both"/>
        <w:rPr>
          <w:i/>
          <w:lang w:val="es-ES_tradnl"/>
        </w:rPr>
      </w:pPr>
      <w:r w:rsidRPr="00A04A62">
        <w:rPr>
          <w:i/>
          <w:lang w:val="es-ES_tradnl"/>
        </w:rPr>
        <w:t>El resto de las posiciones habían sido incorporadas en el Decreto Nº 25/13 que elevaba el DIE para 100 NCM, de acuerdo a lo aprobado en el MERCOSUR de autorizar a cada Estado Parte a subir los aranceles, transitoriamente, para ese número de posiciones.</w:t>
      </w:r>
    </w:p>
    <w:p w:rsidR="00D52DED" w:rsidRPr="00A04A62" w:rsidRDefault="00D52DED" w:rsidP="00D52DED">
      <w:pPr>
        <w:ind w:left="709"/>
        <w:jc w:val="both"/>
        <w:rPr>
          <w:i/>
          <w:lang w:val="es-ES_tradnl"/>
        </w:rPr>
      </w:pPr>
      <w:r w:rsidRPr="00A04A62">
        <w:rPr>
          <w:i/>
          <w:lang w:val="es-ES_tradnl"/>
        </w:rPr>
        <w:t>Este Comunicado fue remitido a la base metalúrgica.</w:t>
      </w:r>
    </w:p>
    <w:p w:rsidR="00D52DED" w:rsidRPr="00D52DED" w:rsidRDefault="00D52DED" w:rsidP="00D52DED">
      <w:pPr>
        <w:tabs>
          <w:tab w:val="left" w:pos="142"/>
        </w:tabs>
        <w:ind w:left="709" w:right="49"/>
        <w:jc w:val="both"/>
        <w:rPr>
          <w:rFonts w:ascii="Arial" w:hAnsi="Arial" w:cs="Arial"/>
          <w:lang w:val="es-ES_tradnl"/>
        </w:rPr>
      </w:pPr>
    </w:p>
    <w:p w:rsidR="00D52DED" w:rsidRPr="00D52DED" w:rsidRDefault="00D52DED" w:rsidP="00D52DED">
      <w:pPr>
        <w:tabs>
          <w:tab w:val="left" w:pos="142"/>
        </w:tabs>
        <w:ind w:left="709" w:right="49"/>
        <w:jc w:val="both"/>
        <w:rPr>
          <w:rFonts w:ascii="Arial" w:hAnsi="Arial" w:cs="Arial"/>
          <w:lang w:val="es-ES"/>
        </w:rPr>
      </w:pPr>
    </w:p>
    <w:p w:rsidR="00D52DED" w:rsidRPr="00D52DED" w:rsidRDefault="00D52DED" w:rsidP="00D52DED">
      <w:pPr>
        <w:tabs>
          <w:tab w:val="left" w:pos="142"/>
        </w:tabs>
        <w:ind w:left="709" w:right="49"/>
        <w:jc w:val="both"/>
        <w:rPr>
          <w:rFonts w:ascii="Arial" w:hAnsi="Arial" w:cs="Arial"/>
          <w:lang w:val="es-ES"/>
        </w:rPr>
      </w:pPr>
      <w:r>
        <w:rPr>
          <w:rFonts w:ascii="Arial" w:hAnsi="Arial" w:cs="Arial"/>
          <w:lang w:val="es-ES"/>
        </w:rPr>
        <w:t>Luego, la misma Decisión, prevé que los países del MERCOSUR</w:t>
      </w:r>
      <w:r w:rsidRPr="00D52DED">
        <w:rPr>
          <w:rFonts w:ascii="Arial" w:hAnsi="Arial" w:cs="Arial"/>
          <w:lang w:val="es-ES"/>
        </w:rPr>
        <w:t xml:space="preserve"> podrán, entre el 1 de enero de 2014 y el 30 de junio de 2015, con carácter excepcional y transitorio, mantener los </w:t>
      </w:r>
      <w:bookmarkStart w:id="0" w:name="_GoBack"/>
      <w:bookmarkEnd w:id="0"/>
      <w:r w:rsidRPr="00D52DED">
        <w:rPr>
          <w:rFonts w:ascii="Arial" w:hAnsi="Arial" w:cs="Arial"/>
          <w:lang w:val="es-ES"/>
        </w:rPr>
        <w:t>regímenes nacionales de importación de bienes de capital actualmente vigentes.</w:t>
      </w:r>
    </w:p>
    <w:p w:rsidR="004C7988" w:rsidRDefault="004C7988" w:rsidP="00063E0E">
      <w:pPr>
        <w:pStyle w:val="Prrafodelista"/>
        <w:numPr>
          <w:ilvl w:val="0"/>
          <w:numId w:val="1"/>
        </w:numPr>
        <w:spacing w:after="0" w:line="240" w:lineRule="auto"/>
        <w:jc w:val="both"/>
        <w:rPr>
          <w:rFonts w:ascii="Arial" w:eastAsia="Times New Roman" w:hAnsi="Arial" w:cs="Arial"/>
          <w:szCs w:val="24"/>
          <w:u w:val="single"/>
          <w:lang w:val="es-ES" w:eastAsia="es-ES"/>
        </w:rPr>
      </w:pPr>
      <w:proofErr w:type="spellStart"/>
      <w:r w:rsidRPr="00916B18">
        <w:rPr>
          <w:rFonts w:ascii="Arial" w:eastAsia="Times New Roman" w:hAnsi="Arial" w:cs="Arial"/>
          <w:szCs w:val="24"/>
          <w:u w:val="single"/>
          <w:lang w:val="es-ES" w:eastAsia="es-ES"/>
        </w:rPr>
        <w:t>Dec</w:t>
      </w:r>
      <w:proofErr w:type="spellEnd"/>
      <w:r w:rsidRPr="00916B18">
        <w:rPr>
          <w:rFonts w:ascii="Arial" w:eastAsia="Times New Roman" w:hAnsi="Arial" w:cs="Arial"/>
          <w:szCs w:val="24"/>
          <w:u w:val="single"/>
          <w:lang w:val="es-ES" w:eastAsia="es-ES"/>
        </w:rPr>
        <w:t xml:space="preserve">. CMC Nº </w:t>
      </w:r>
      <w:r>
        <w:rPr>
          <w:rFonts w:ascii="Arial" w:eastAsia="Times New Roman" w:hAnsi="Arial" w:cs="Arial"/>
          <w:szCs w:val="24"/>
          <w:u w:val="single"/>
          <w:lang w:val="es-ES" w:eastAsia="es-ES"/>
        </w:rPr>
        <w:t>39</w:t>
      </w:r>
      <w:r w:rsidRPr="00916B18">
        <w:rPr>
          <w:rFonts w:ascii="Arial" w:eastAsia="Times New Roman" w:hAnsi="Arial" w:cs="Arial"/>
          <w:szCs w:val="24"/>
          <w:u w:val="single"/>
          <w:lang w:val="es-ES" w:eastAsia="es-ES"/>
        </w:rPr>
        <w:t>/14 “</w:t>
      </w:r>
      <w:r>
        <w:rPr>
          <w:rFonts w:ascii="Arial" w:eastAsia="Times New Roman" w:hAnsi="Arial" w:cs="Arial"/>
          <w:szCs w:val="24"/>
          <w:u w:val="single"/>
          <w:lang w:val="es-ES" w:eastAsia="es-ES"/>
        </w:rPr>
        <w:t>Fondo MERCOSUR de garantías para micro, pequeñas y medianas empresas”</w:t>
      </w:r>
    </w:p>
    <w:p w:rsidR="00063E0E" w:rsidRDefault="00063E0E" w:rsidP="00063E0E">
      <w:pPr>
        <w:spacing w:after="0"/>
        <w:ind w:left="709"/>
        <w:jc w:val="both"/>
        <w:rPr>
          <w:rFonts w:ascii="Arial" w:hAnsi="Arial" w:cs="Arial"/>
          <w:lang w:val="es-ES"/>
        </w:rPr>
      </w:pPr>
    </w:p>
    <w:p w:rsidR="004C7988" w:rsidRDefault="00063E0E" w:rsidP="00063E0E">
      <w:pPr>
        <w:spacing w:after="0"/>
        <w:ind w:left="709"/>
        <w:jc w:val="both"/>
        <w:rPr>
          <w:rFonts w:ascii="Arial" w:eastAsia="Calibri" w:hAnsi="Arial" w:cs="Arial"/>
          <w:lang w:val="es-ES_tradnl"/>
        </w:rPr>
      </w:pPr>
      <w:r w:rsidRPr="00063E0E">
        <w:rPr>
          <w:rFonts w:ascii="Arial" w:eastAsia="Calibri" w:hAnsi="Arial" w:cs="Arial"/>
          <w:lang w:val="es-ES_tradnl"/>
        </w:rPr>
        <w:t>Se reglamentó el Fondo de Garantías que, en síntesis, garantizará operaciones de crédito contratadas por micro, pequeñas y medianas empresas con sede en el territorio de los Estados Partes vinculadas a actividades de integración productiva</w:t>
      </w:r>
      <w:r>
        <w:rPr>
          <w:rFonts w:ascii="Arial" w:eastAsia="Calibri" w:hAnsi="Arial" w:cs="Arial"/>
          <w:lang w:val="es-ES_tradnl"/>
        </w:rPr>
        <w:t>.</w:t>
      </w:r>
    </w:p>
    <w:p w:rsidR="00063E0E" w:rsidRPr="00063E0E" w:rsidRDefault="00063E0E" w:rsidP="00063E0E">
      <w:pPr>
        <w:spacing w:after="0"/>
        <w:ind w:left="709"/>
        <w:jc w:val="both"/>
        <w:rPr>
          <w:rFonts w:ascii="Arial" w:eastAsia="Calibri" w:hAnsi="Arial" w:cs="Arial"/>
          <w:lang w:val="es-ES_tradnl"/>
        </w:rPr>
      </w:pPr>
    </w:p>
    <w:p w:rsidR="00916B18" w:rsidRDefault="00916B18" w:rsidP="00BF4587">
      <w:pPr>
        <w:pStyle w:val="Prrafodelista"/>
        <w:numPr>
          <w:ilvl w:val="0"/>
          <w:numId w:val="1"/>
        </w:numPr>
        <w:spacing w:after="0" w:line="240" w:lineRule="auto"/>
        <w:jc w:val="both"/>
        <w:rPr>
          <w:rFonts w:ascii="Arial" w:eastAsia="Times New Roman" w:hAnsi="Arial" w:cs="Arial"/>
          <w:szCs w:val="24"/>
          <w:u w:val="single"/>
          <w:lang w:val="es-ES" w:eastAsia="es-ES"/>
        </w:rPr>
      </w:pPr>
      <w:proofErr w:type="spellStart"/>
      <w:r w:rsidRPr="00916B18">
        <w:rPr>
          <w:rFonts w:ascii="Arial" w:eastAsia="Times New Roman" w:hAnsi="Arial" w:cs="Arial"/>
          <w:szCs w:val="24"/>
          <w:u w:val="single"/>
          <w:lang w:val="es-ES" w:eastAsia="es-ES"/>
        </w:rPr>
        <w:t>Dec</w:t>
      </w:r>
      <w:proofErr w:type="spellEnd"/>
      <w:r w:rsidRPr="00916B18">
        <w:rPr>
          <w:rFonts w:ascii="Arial" w:eastAsia="Times New Roman" w:hAnsi="Arial" w:cs="Arial"/>
          <w:szCs w:val="24"/>
          <w:u w:val="single"/>
          <w:lang w:val="es-ES" w:eastAsia="es-ES"/>
        </w:rPr>
        <w:t>. CMC Nº 42/14 “</w:t>
      </w:r>
      <w:r w:rsidR="00742448">
        <w:rPr>
          <w:rFonts w:ascii="Arial" w:eastAsia="Times New Roman" w:hAnsi="Arial" w:cs="Arial"/>
          <w:szCs w:val="24"/>
          <w:u w:val="single"/>
          <w:lang w:val="es-ES" w:eastAsia="es-ES"/>
        </w:rPr>
        <w:t>Suscripción del M</w:t>
      </w:r>
      <w:r w:rsidR="00742448" w:rsidRPr="00916B18">
        <w:rPr>
          <w:rFonts w:ascii="Arial" w:eastAsia="Times New Roman" w:hAnsi="Arial" w:cs="Arial"/>
          <w:szCs w:val="24"/>
          <w:u w:val="single"/>
          <w:lang w:val="es-ES" w:eastAsia="es-ES"/>
        </w:rPr>
        <w:t xml:space="preserve">emorándum de </w:t>
      </w:r>
      <w:r w:rsidR="00742448">
        <w:rPr>
          <w:rFonts w:ascii="Arial" w:eastAsia="Times New Roman" w:hAnsi="Arial" w:cs="Arial"/>
          <w:szCs w:val="24"/>
          <w:u w:val="single"/>
          <w:lang w:val="es-ES" w:eastAsia="es-ES"/>
        </w:rPr>
        <w:t>Entendimiento de C</w:t>
      </w:r>
      <w:r w:rsidR="00742448" w:rsidRPr="00916B18">
        <w:rPr>
          <w:rFonts w:ascii="Arial" w:eastAsia="Times New Roman" w:hAnsi="Arial" w:cs="Arial"/>
          <w:szCs w:val="24"/>
          <w:u w:val="single"/>
          <w:lang w:val="es-ES" w:eastAsia="es-ES"/>
        </w:rPr>
        <w:t xml:space="preserve">omercio y </w:t>
      </w:r>
      <w:r w:rsidR="00742448">
        <w:rPr>
          <w:rFonts w:ascii="Arial" w:eastAsia="Times New Roman" w:hAnsi="Arial" w:cs="Arial"/>
          <w:szCs w:val="24"/>
          <w:u w:val="single"/>
          <w:lang w:val="es-ES" w:eastAsia="es-ES"/>
        </w:rPr>
        <w:t>C</w:t>
      </w:r>
      <w:r w:rsidR="00742448" w:rsidRPr="00916B18">
        <w:rPr>
          <w:rFonts w:ascii="Arial" w:eastAsia="Times New Roman" w:hAnsi="Arial" w:cs="Arial"/>
          <w:szCs w:val="24"/>
          <w:u w:val="single"/>
          <w:lang w:val="es-ES" w:eastAsia="es-ES"/>
        </w:rPr>
        <w:t xml:space="preserve">ooperación </w:t>
      </w:r>
      <w:r w:rsidR="00742448">
        <w:rPr>
          <w:rFonts w:ascii="Arial" w:eastAsia="Times New Roman" w:hAnsi="Arial" w:cs="Arial"/>
          <w:szCs w:val="24"/>
          <w:u w:val="single"/>
          <w:lang w:val="es-ES" w:eastAsia="es-ES"/>
        </w:rPr>
        <w:t>E</w:t>
      </w:r>
      <w:r w:rsidR="00742448" w:rsidRPr="00916B18">
        <w:rPr>
          <w:rFonts w:ascii="Arial" w:eastAsia="Times New Roman" w:hAnsi="Arial" w:cs="Arial"/>
          <w:szCs w:val="24"/>
          <w:u w:val="single"/>
          <w:lang w:val="es-ES" w:eastAsia="es-ES"/>
        </w:rPr>
        <w:t xml:space="preserve">conómica entre el </w:t>
      </w:r>
      <w:r w:rsidR="00742448">
        <w:rPr>
          <w:rFonts w:ascii="Arial" w:eastAsia="Times New Roman" w:hAnsi="Arial" w:cs="Arial"/>
          <w:szCs w:val="24"/>
          <w:u w:val="single"/>
          <w:lang w:val="es-ES" w:eastAsia="es-ES"/>
        </w:rPr>
        <w:t xml:space="preserve">MERCOSUR </w:t>
      </w:r>
      <w:r w:rsidR="00742448" w:rsidRPr="00916B18">
        <w:rPr>
          <w:rFonts w:ascii="Arial" w:eastAsia="Times New Roman" w:hAnsi="Arial" w:cs="Arial"/>
          <w:szCs w:val="24"/>
          <w:u w:val="single"/>
          <w:lang w:val="es-ES" w:eastAsia="es-ES"/>
        </w:rPr>
        <w:t xml:space="preserve">y la </w:t>
      </w:r>
      <w:r w:rsidR="00742448">
        <w:rPr>
          <w:rFonts w:ascii="Arial" w:eastAsia="Times New Roman" w:hAnsi="Arial" w:cs="Arial"/>
          <w:szCs w:val="24"/>
          <w:u w:val="single"/>
          <w:lang w:val="es-ES" w:eastAsia="es-ES"/>
        </w:rPr>
        <w:t>R</w:t>
      </w:r>
      <w:r w:rsidR="00742448" w:rsidRPr="00916B18">
        <w:rPr>
          <w:rFonts w:ascii="Arial" w:eastAsia="Times New Roman" w:hAnsi="Arial" w:cs="Arial"/>
          <w:szCs w:val="24"/>
          <w:u w:val="single"/>
          <w:lang w:val="es-ES" w:eastAsia="es-ES"/>
        </w:rPr>
        <w:t xml:space="preserve">epública del </w:t>
      </w:r>
      <w:r w:rsidR="00742448">
        <w:rPr>
          <w:rFonts w:ascii="Arial" w:eastAsia="Times New Roman" w:hAnsi="Arial" w:cs="Arial"/>
          <w:szCs w:val="24"/>
          <w:u w:val="single"/>
          <w:lang w:val="es-ES" w:eastAsia="es-ES"/>
        </w:rPr>
        <w:t>L</w:t>
      </w:r>
      <w:r w:rsidR="00742448" w:rsidRPr="00916B18">
        <w:rPr>
          <w:rFonts w:ascii="Arial" w:eastAsia="Times New Roman" w:hAnsi="Arial" w:cs="Arial"/>
          <w:szCs w:val="24"/>
          <w:u w:val="single"/>
          <w:lang w:val="es-ES" w:eastAsia="es-ES"/>
        </w:rPr>
        <w:t>íbano</w:t>
      </w:r>
      <w:r>
        <w:rPr>
          <w:rFonts w:ascii="Arial" w:eastAsia="Times New Roman" w:hAnsi="Arial" w:cs="Arial"/>
          <w:szCs w:val="24"/>
          <w:u w:val="single"/>
          <w:lang w:val="es-ES" w:eastAsia="es-ES"/>
        </w:rPr>
        <w:t>”</w:t>
      </w:r>
    </w:p>
    <w:p w:rsidR="00742448" w:rsidRPr="00742448" w:rsidRDefault="00742448" w:rsidP="00BF4587">
      <w:pPr>
        <w:spacing w:after="0" w:line="240" w:lineRule="auto"/>
        <w:jc w:val="both"/>
        <w:rPr>
          <w:rFonts w:ascii="Arial" w:eastAsia="Times New Roman" w:hAnsi="Arial" w:cs="Arial"/>
          <w:szCs w:val="24"/>
          <w:u w:val="single"/>
          <w:lang w:val="es-ES" w:eastAsia="es-ES"/>
        </w:rPr>
      </w:pPr>
    </w:p>
    <w:p w:rsidR="00901403" w:rsidRPr="00861119" w:rsidRDefault="00901403" w:rsidP="00BF4587">
      <w:pPr>
        <w:spacing w:after="0" w:line="240" w:lineRule="auto"/>
        <w:ind w:left="709"/>
        <w:jc w:val="both"/>
        <w:rPr>
          <w:rFonts w:ascii="Arial" w:eastAsia="Calibri" w:hAnsi="Arial" w:cs="Arial"/>
          <w:color w:val="000000"/>
          <w:lang w:val="es-UY"/>
        </w:rPr>
      </w:pPr>
      <w:r>
        <w:rPr>
          <w:rFonts w:ascii="Arial" w:eastAsia="Calibri" w:hAnsi="Arial" w:cs="Arial"/>
          <w:bCs/>
          <w:color w:val="000000"/>
          <w:lang w:val="es-UY"/>
        </w:rPr>
        <w:t xml:space="preserve">Mediante esta Decisión se aprobó el Acuerdo de referencia. </w:t>
      </w:r>
      <w:r w:rsidRPr="00861119">
        <w:rPr>
          <w:rFonts w:ascii="Arial" w:eastAsia="Calibri" w:hAnsi="Arial" w:cs="Arial"/>
          <w:bCs/>
          <w:color w:val="000000"/>
          <w:lang w:val="es-UY"/>
        </w:rPr>
        <w:t xml:space="preserve"> </w:t>
      </w:r>
    </w:p>
    <w:p w:rsidR="00916B18" w:rsidRPr="00742448" w:rsidRDefault="00916B18" w:rsidP="00742448">
      <w:pPr>
        <w:spacing w:after="0" w:line="240" w:lineRule="auto"/>
        <w:ind w:left="709"/>
        <w:jc w:val="both"/>
        <w:rPr>
          <w:rFonts w:ascii="Arial" w:hAnsi="Arial" w:cs="Arial"/>
          <w:lang w:val="es-ES_tradnl"/>
        </w:rPr>
      </w:pPr>
      <w:r w:rsidRPr="00742448">
        <w:rPr>
          <w:rFonts w:ascii="Arial" w:hAnsi="Arial" w:cs="Arial"/>
          <w:lang w:val="es-ES_tradnl"/>
        </w:rPr>
        <w:t>El mismo tiene por objeto fortalecer las relaciones entre los países firmantes</w:t>
      </w:r>
      <w:r w:rsidR="00742448" w:rsidRPr="00742448">
        <w:rPr>
          <w:rFonts w:ascii="Arial" w:hAnsi="Arial" w:cs="Arial"/>
          <w:lang w:val="es-ES_tradnl"/>
        </w:rPr>
        <w:t xml:space="preserve">, intercambiando información comercial y estableciendo criterios </w:t>
      </w:r>
      <w:r w:rsidRPr="00742448">
        <w:rPr>
          <w:rFonts w:ascii="Arial" w:hAnsi="Arial" w:cs="Arial"/>
          <w:lang w:val="es-ES_tradnl"/>
        </w:rPr>
        <w:t xml:space="preserve">a los fines de </w:t>
      </w:r>
      <w:r w:rsidR="00742448" w:rsidRPr="00742448">
        <w:rPr>
          <w:rFonts w:ascii="Arial" w:hAnsi="Arial" w:cs="Arial"/>
          <w:lang w:val="es-ES_tradnl"/>
        </w:rPr>
        <w:t>negociar</w:t>
      </w:r>
      <w:r w:rsidRPr="00742448">
        <w:rPr>
          <w:rFonts w:ascii="Arial" w:hAnsi="Arial" w:cs="Arial"/>
          <w:lang w:val="es-ES_tradnl"/>
        </w:rPr>
        <w:t xml:space="preserve"> a futuro </w:t>
      </w:r>
      <w:r w:rsidR="00742448" w:rsidRPr="00742448">
        <w:rPr>
          <w:rFonts w:ascii="Arial" w:hAnsi="Arial" w:cs="Arial"/>
          <w:lang w:val="es-ES_tradnl"/>
        </w:rPr>
        <w:t xml:space="preserve">el establecimiento de </w:t>
      </w:r>
      <w:r w:rsidRPr="00742448">
        <w:rPr>
          <w:rFonts w:ascii="Arial" w:hAnsi="Arial" w:cs="Arial"/>
          <w:lang w:val="es-ES_tradnl"/>
        </w:rPr>
        <w:t>una zona de libre comercio</w:t>
      </w:r>
      <w:r w:rsidR="00742448" w:rsidRPr="00742448">
        <w:rPr>
          <w:rFonts w:ascii="Arial" w:hAnsi="Arial" w:cs="Arial"/>
          <w:lang w:val="es-ES_tradnl"/>
        </w:rPr>
        <w:t>.</w:t>
      </w:r>
    </w:p>
    <w:p w:rsidR="000D418A" w:rsidRDefault="000D418A" w:rsidP="00916B18">
      <w:pPr>
        <w:spacing w:after="0" w:line="240" w:lineRule="auto"/>
        <w:rPr>
          <w:rFonts w:ascii="Arial" w:hAnsi="Arial" w:cs="Arial"/>
          <w:lang w:val="es-ES_tradnl"/>
        </w:rPr>
      </w:pPr>
    </w:p>
    <w:p w:rsidR="0021521D" w:rsidRDefault="0021521D" w:rsidP="0021521D">
      <w:pPr>
        <w:pStyle w:val="Prrafodelista"/>
        <w:numPr>
          <w:ilvl w:val="0"/>
          <w:numId w:val="1"/>
        </w:numPr>
        <w:spacing w:after="0" w:line="240" w:lineRule="auto"/>
        <w:jc w:val="both"/>
        <w:rPr>
          <w:rFonts w:ascii="Arial" w:eastAsia="Times New Roman" w:hAnsi="Arial" w:cs="Arial"/>
          <w:szCs w:val="24"/>
          <w:u w:val="single"/>
          <w:lang w:val="es-ES" w:eastAsia="es-ES"/>
        </w:rPr>
      </w:pPr>
      <w:proofErr w:type="spellStart"/>
      <w:r w:rsidRPr="00916B18">
        <w:rPr>
          <w:rFonts w:ascii="Arial" w:eastAsia="Times New Roman" w:hAnsi="Arial" w:cs="Arial"/>
          <w:szCs w:val="24"/>
          <w:u w:val="single"/>
          <w:lang w:val="es-ES" w:eastAsia="es-ES"/>
        </w:rPr>
        <w:t>Dec</w:t>
      </w:r>
      <w:proofErr w:type="spellEnd"/>
      <w:r w:rsidRPr="00916B18">
        <w:rPr>
          <w:rFonts w:ascii="Arial" w:eastAsia="Times New Roman" w:hAnsi="Arial" w:cs="Arial"/>
          <w:szCs w:val="24"/>
          <w:u w:val="single"/>
          <w:lang w:val="es-ES" w:eastAsia="es-ES"/>
        </w:rPr>
        <w:t>. CMC Nº 4</w:t>
      </w:r>
      <w:r>
        <w:rPr>
          <w:rFonts w:ascii="Arial" w:eastAsia="Times New Roman" w:hAnsi="Arial" w:cs="Arial"/>
          <w:szCs w:val="24"/>
          <w:u w:val="single"/>
          <w:lang w:val="es-ES" w:eastAsia="es-ES"/>
        </w:rPr>
        <w:t>3</w:t>
      </w:r>
      <w:r w:rsidRPr="00916B18">
        <w:rPr>
          <w:rFonts w:ascii="Arial" w:eastAsia="Times New Roman" w:hAnsi="Arial" w:cs="Arial"/>
          <w:szCs w:val="24"/>
          <w:u w:val="single"/>
          <w:lang w:val="es-ES" w:eastAsia="es-ES"/>
        </w:rPr>
        <w:t>/14 “</w:t>
      </w:r>
      <w:r>
        <w:rPr>
          <w:rFonts w:ascii="Arial" w:eastAsia="Times New Roman" w:hAnsi="Arial" w:cs="Arial"/>
          <w:szCs w:val="24"/>
          <w:u w:val="single"/>
          <w:lang w:val="es-ES" w:eastAsia="es-ES"/>
        </w:rPr>
        <w:t xml:space="preserve">Suscripción del </w:t>
      </w:r>
      <w:r w:rsidRPr="0021521D">
        <w:rPr>
          <w:rFonts w:ascii="Arial" w:eastAsia="Times New Roman" w:hAnsi="Arial" w:cs="Arial"/>
          <w:szCs w:val="24"/>
          <w:u w:val="single"/>
          <w:lang w:val="es-ES" w:eastAsia="es-ES"/>
        </w:rPr>
        <w:t xml:space="preserve">Acuerdo Marco </w:t>
      </w:r>
      <w:r>
        <w:rPr>
          <w:rFonts w:ascii="Arial" w:eastAsia="Times New Roman" w:hAnsi="Arial" w:cs="Arial"/>
          <w:szCs w:val="24"/>
          <w:u w:val="single"/>
          <w:lang w:val="es-ES" w:eastAsia="es-ES"/>
        </w:rPr>
        <w:t>d</w:t>
      </w:r>
      <w:r w:rsidRPr="0021521D">
        <w:rPr>
          <w:rFonts w:ascii="Arial" w:eastAsia="Times New Roman" w:hAnsi="Arial" w:cs="Arial"/>
          <w:szCs w:val="24"/>
          <w:u w:val="single"/>
          <w:lang w:val="es-ES" w:eastAsia="es-ES"/>
        </w:rPr>
        <w:t xml:space="preserve">e Comercio </w:t>
      </w:r>
      <w:r>
        <w:rPr>
          <w:rFonts w:ascii="Arial" w:eastAsia="Times New Roman" w:hAnsi="Arial" w:cs="Arial"/>
          <w:szCs w:val="24"/>
          <w:u w:val="single"/>
          <w:lang w:val="es-ES" w:eastAsia="es-ES"/>
        </w:rPr>
        <w:t>y</w:t>
      </w:r>
      <w:r w:rsidRPr="0021521D">
        <w:rPr>
          <w:rFonts w:ascii="Arial" w:eastAsia="Times New Roman" w:hAnsi="Arial" w:cs="Arial"/>
          <w:szCs w:val="24"/>
          <w:u w:val="single"/>
          <w:lang w:val="es-ES" w:eastAsia="es-ES"/>
        </w:rPr>
        <w:t xml:space="preserve"> Cooperación Económica </w:t>
      </w:r>
      <w:r>
        <w:rPr>
          <w:rFonts w:ascii="Arial" w:eastAsia="Times New Roman" w:hAnsi="Arial" w:cs="Arial"/>
          <w:szCs w:val="24"/>
          <w:u w:val="single"/>
          <w:lang w:val="es-ES" w:eastAsia="es-ES"/>
        </w:rPr>
        <w:t>e</w:t>
      </w:r>
      <w:r w:rsidRPr="0021521D">
        <w:rPr>
          <w:rFonts w:ascii="Arial" w:eastAsia="Times New Roman" w:hAnsi="Arial" w:cs="Arial"/>
          <w:szCs w:val="24"/>
          <w:u w:val="single"/>
          <w:lang w:val="es-ES" w:eastAsia="es-ES"/>
        </w:rPr>
        <w:t xml:space="preserve">ntre </w:t>
      </w:r>
      <w:r>
        <w:rPr>
          <w:rFonts w:ascii="Arial" w:eastAsia="Times New Roman" w:hAnsi="Arial" w:cs="Arial"/>
          <w:szCs w:val="24"/>
          <w:u w:val="single"/>
          <w:lang w:val="es-ES" w:eastAsia="es-ES"/>
        </w:rPr>
        <w:t>e</w:t>
      </w:r>
      <w:r w:rsidRPr="0021521D">
        <w:rPr>
          <w:rFonts w:ascii="Arial" w:eastAsia="Times New Roman" w:hAnsi="Arial" w:cs="Arial"/>
          <w:szCs w:val="24"/>
          <w:u w:val="single"/>
          <w:lang w:val="es-ES" w:eastAsia="es-ES"/>
        </w:rPr>
        <w:t xml:space="preserve">l Mercosur </w:t>
      </w:r>
      <w:r>
        <w:rPr>
          <w:rFonts w:ascii="Arial" w:eastAsia="Times New Roman" w:hAnsi="Arial" w:cs="Arial"/>
          <w:szCs w:val="24"/>
          <w:u w:val="single"/>
          <w:lang w:val="es-ES" w:eastAsia="es-ES"/>
        </w:rPr>
        <w:t>y</w:t>
      </w:r>
      <w:r w:rsidRPr="0021521D">
        <w:rPr>
          <w:rFonts w:ascii="Arial" w:eastAsia="Times New Roman" w:hAnsi="Arial" w:cs="Arial"/>
          <w:szCs w:val="24"/>
          <w:u w:val="single"/>
          <w:lang w:val="es-ES" w:eastAsia="es-ES"/>
        </w:rPr>
        <w:t xml:space="preserve"> </w:t>
      </w:r>
      <w:r>
        <w:rPr>
          <w:rFonts w:ascii="Arial" w:eastAsia="Times New Roman" w:hAnsi="Arial" w:cs="Arial"/>
          <w:szCs w:val="24"/>
          <w:u w:val="single"/>
          <w:lang w:val="es-ES" w:eastAsia="es-ES"/>
        </w:rPr>
        <w:t>l</w:t>
      </w:r>
      <w:r w:rsidRPr="0021521D">
        <w:rPr>
          <w:rFonts w:ascii="Arial" w:eastAsia="Times New Roman" w:hAnsi="Arial" w:cs="Arial"/>
          <w:szCs w:val="24"/>
          <w:u w:val="single"/>
          <w:lang w:val="es-ES" w:eastAsia="es-ES"/>
        </w:rPr>
        <w:t>a República Tunecina</w:t>
      </w:r>
      <w:r>
        <w:rPr>
          <w:rFonts w:ascii="Arial" w:eastAsia="Times New Roman" w:hAnsi="Arial" w:cs="Arial"/>
          <w:szCs w:val="24"/>
          <w:u w:val="single"/>
          <w:lang w:val="es-ES" w:eastAsia="es-ES"/>
        </w:rPr>
        <w:t>”</w:t>
      </w:r>
    </w:p>
    <w:p w:rsidR="0021521D" w:rsidRDefault="0021521D" w:rsidP="0021521D">
      <w:pPr>
        <w:spacing w:after="0" w:line="240" w:lineRule="auto"/>
        <w:jc w:val="both"/>
        <w:rPr>
          <w:rFonts w:ascii="Arial" w:eastAsia="Times New Roman" w:hAnsi="Arial" w:cs="Arial"/>
          <w:szCs w:val="24"/>
          <w:u w:val="single"/>
          <w:lang w:val="es-ES" w:eastAsia="es-ES"/>
        </w:rPr>
      </w:pPr>
    </w:p>
    <w:p w:rsidR="00131B8C" w:rsidRPr="00861119" w:rsidRDefault="00131B8C" w:rsidP="00131B8C">
      <w:pPr>
        <w:ind w:left="709"/>
        <w:jc w:val="both"/>
        <w:rPr>
          <w:rFonts w:ascii="Arial" w:eastAsia="Calibri" w:hAnsi="Arial" w:cs="Arial"/>
          <w:color w:val="000000"/>
          <w:lang w:val="es-UY"/>
        </w:rPr>
      </w:pPr>
      <w:r>
        <w:rPr>
          <w:rFonts w:ascii="Arial" w:eastAsia="Calibri" w:hAnsi="Arial" w:cs="Arial"/>
          <w:bCs/>
          <w:color w:val="000000"/>
          <w:lang w:val="es-UY"/>
        </w:rPr>
        <w:t xml:space="preserve">Mediante esta Decisión se aprobó el Acuerdo de referencia. </w:t>
      </w:r>
      <w:r w:rsidRPr="00861119">
        <w:rPr>
          <w:rFonts w:ascii="Arial" w:eastAsia="Calibri" w:hAnsi="Arial" w:cs="Arial"/>
          <w:bCs/>
          <w:color w:val="000000"/>
          <w:lang w:val="es-UY"/>
        </w:rPr>
        <w:t xml:space="preserve"> </w:t>
      </w:r>
    </w:p>
    <w:p w:rsidR="00901403" w:rsidRPr="00F11E7B" w:rsidRDefault="0021521D" w:rsidP="00F11E7B">
      <w:pPr>
        <w:spacing w:after="0" w:line="240" w:lineRule="auto"/>
        <w:ind w:left="709"/>
        <w:jc w:val="both"/>
        <w:rPr>
          <w:rFonts w:ascii="Arial" w:hAnsi="Arial" w:cs="Arial"/>
          <w:lang w:val="es-ES_tradnl"/>
        </w:rPr>
      </w:pPr>
      <w:r w:rsidRPr="0021521D">
        <w:rPr>
          <w:rFonts w:ascii="Arial" w:hAnsi="Arial" w:cs="Arial"/>
          <w:lang w:val="es-ES_tradnl"/>
        </w:rPr>
        <w:t>Al igual que en caso anterior, la suscripción de este Acuerdo Marco, tiene por objeto favorecer el acercamiento de las partes, fortaleciendo las relaciones económicas entre los países firmantes con la intención de negociar a futuro un acuerdo de libre comercio.</w:t>
      </w:r>
    </w:p>
    <w:p w:rsidR="00F11E7B" w:rsidRDefault="00F11E7B">
      <w:pPr>
        <w:rPr>
          <w:rFonts w:ascii="Arial" w:eastAsia="Times New Roman" w:hAnsi="Arial" w:cs="Arial"/>
          <w:szCs w:val="24"/>
          <w:u w:val="single"/>
          <w:lang w:val="es-ES" w:eastAsia="es-ES"/>
        </w:rPr>
      </w:pPr>
    </w:p>
    <w:sectPr w:rsidR="00F11E7B" w:rsidSect="000D418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07F7A"/>
    <w:multiLevelType w:val="hybridMultilevel"/>
    <w:tmpl w:val="091CDC7A"/>
    <w:lvl w:ilvl="0" w:tplc="0409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CF936DF"/>
    <w:multiLevelType w:val="hybridMultilevel"/>
    <w:tmpl w:val="E3D62C22"/>
    <w:lvl w:ilvl="0" w:tplc="26F6019C">
      <w:start w:val="1"/>
      <w:numFmt w:val="decimal"/>
      <w:lvlText w:val="%1."/>
      <w:lvlJc w:val="left"/>
      <w:pPr>
        <w:ind w:left="8015" w:hanging="360"/>
      </w:pPr>
      <w:rPr>
        <w:strike w:val="0"/>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
    <w:nsid w:val="4FA52ADC"/>
    <w:multiLevelType w:val="hybridMultilevel"/>
    <w:tmpl w:val="0FEC200C"/>
    <w:lvl w:ilvl="0" w:tplc="0C0A000B">
      <w:start w:val="1"/>
      <w:numFmt w:val="bullet"/>
      <w:lvlText w:val=""/>
      <w:lvlJc w:val="left"/>
      <w:pPr>
        <w:tabs>
          <w:tab w:val="num" w:pos="720"/>
        </w:tabs>
        <w:ind w:left="720" w:hanging="360"/>
      </w:pPr>
      <w:rPr>
        <w:rFonts w:ascii="Wingdings" w:hAnsi="Wingdings"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744A86"/>
    <w:rsid w:val="00063E0E"/>
    <w:rsid w:val="000A67B0"/>
    <w:rsid w:val="000D418A"/>
    <w:rsid w:val="00131B8C"/>
    <w:rsid w:val="0015021B"/>
    <w:rsid w:val="0021521D"/>
    <w:rsid w:val="00303F29"/>
    <w:rsid w:val="0037781D"/>
    <w:rsid w:val="004121DE"/>
    <w:rsid w:val="00486EBF"/>
    <w:rsid w:val="004C7988"/>
    <w:rsid w:val="00520180"/>
    <w:rsid w:val="00742448"/>
    <w:rsid w:val="00744A86"/>
    <w:rsid w:val="008237B8"/>
    <w:rsid w:val="00901403"/>
    <w:rsid w:val="00916B18"/>
    <w:rsid w:val="00997539"/>
    <w:rsid w:val="00AC2361"/>
    <w:rsid w:val="00AF14C5"/>
    <w:rsid w:val="00BF4587"/>
    <w:rsid w:val="00C20969"/>
    <w:rsid w:val="00D02434"/>
    <w:rsid w:val="00D52DED"/>
    <w:rsid w:val="00DF1C86"/>
    <w:rsid w:val="00E869DB"/>
    <w:rsid w:val="00EC50F9"/>
    <w:rsid w:val="00F11E7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18A"/>
  </w:style>
  <w:style w:type="paragraph" w:styleId="Ttulo2">
    <w:name w:val="heading 2"/>
    <w:basedOn w:val="Normal"/>
    <w:next w:val="Normal"/>
    <w:link w:val="Ttulo2Car"/>
    <w:qFormat/>
    <w:rsid w:val="00744A86"/>
    <w:pPr>
      <w:keepNext/>
      <w:spacing w:after="0" w:line="240" w:lineRule="auto"/>
      <w:jc w:val="both"/>
      <w:outlineLvl w:val="1"/>
    </w:pPr>
    <w:rPr>
      <w:rFonts w:ascii="Arial" w:eastAsia="Times New Roman" w:hAnsi="Arial" w:cs="Arial"/>
      <w:b/>
      <w:bCs/>
      <w:szCs w:val="24"/>
      <w:u w:val="single"/>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744A86"/>
    <w:rPr>
      <w:rFonts w:ascii="Arial" w:eastAsia="Times New Roman" w:hAnsi="Arial" w:cs="Arial"/>
      <w:b/>
      <w:bCs/>
      <w:szCs w:val="24"/>
      <w:u w:val="single"/>
      <w:lang w:val="es-ES" w:eastAsia="es-ES"/>
    </w:rPr>
  </w:style>
  <w:style w:type="paragraph" w:styleId="Ttulo">
    <w:name w:val="Title"/>
    <w:basedOn w:val="Normal"/>
    <w:link w:val="TtuloCar"/>
    <w:qFormat/>
    <w:rsid w:val="00744A86"/>
    <w:pPr>
      <w:spacing w:after="0" w:line="240" w:lineRule="auto"/>
      <w:jc w:val="center"/>
    </w:pPr>
    <w:rPr>
      <w:rFonts w:ascii="Times New Roman" w:eastAsia="Times New Roman" w:hAnsi="Times New Roman" w:cs="Times New Roman"/>
      <w:b/>
      <w:bCs/>
      <w:sz w:val="24"/>
      <w:szCs w:val="24"/>
      <w:u w:val="single"/>
      <w:lang w:val="es-ES" w:eastAsia="es-ES"/>
    </w:rPr>
  </w:style>
  <w:style w:type="character" w:customStyle="1" w:styleId="TtuloCar">
    <w:name w:val="Título Car"/>
    <w:basedOn w:val="Fuentedeprrafopredeter"/>
    <w:link w:val="Ttulo"/>
    <w:rsid w:val="00744A86"/>
    <w:rPr>
      <w:rFonts w:ascii="Times New Roman" w:eastAsia="Times New Roman" w:hAnsi="Times New Roman" w:cs="Times New Roman"/>
      <w:b/>
      <w:bCs/>
      <w:sz w:val="24"/>
      <w:szCs w:val="24"/>
      <w:u w:val="single"/>
      <w:lang w:val="es-ES" w:eastAsia="es-ES"/>
    </w:rPr>
  </w:style>
  <w:style w:type="paragraph" w:styleId="Prrafodelista">
    <w:name w:val="List Paragraph"/>
    <w:basedOn w:val="Normal"/>
    <w:uiPriority w:val="34"/>
    <w:qFormat/>
    <w:rsid w:val="00916B18"/>
    <w:pPr>
      <w:ind w:left="720"/>
      <w:contextualSpacing/>
    </w:pPr>
  </w:style>
  <w:style w:type="paragraph" w:styleId="Textoindependiente">
    <w:name w:val="Body Text"/>
    <w:basedOn w:val="Normal"/>
    <w:link w:val="TextoindependienteCar"/>
    <w:rsid w:val="00AF14C5"/>
    <w:pPr>
      <w:spacing w:after="0" w:line="240" w:lineRule="auto"/>
      <w:jc w:val="both"/>
    </w:pPr>
    <w:rPr>
      <w:rFonts w:ascii="Arial" w:eastAsia="Times New Roman" w:hAnsi="Arial" w:cs="Times New Roman"/>
      <w:sz w:val="24"/>
      <w:szCs w:val="24"/>
      <w:lang w:val="es-UY" w:eastAsia="es-ES"/>
    </w:rPr>
  </w:style>
  <w:style w:type="character" w:customStyle="1" w:styleId="TextoindependienteCar">
    <w:name w:val="Texto independiente Car"/>
    <w:basedOn w:val="Fuentedeprrafopredeter"/>
    <w:link w:val="Textoindependiente"/>
    <w:rsid w:val="00AF14C5"/>
    <w:rPr>
      <w:rFonts w:ascii="Arial" w:eastAsia="Times New Roman" w:hAnsi="Arial" w:cs="Times New Roman"/>
      <w:sz w:val="24"/>
      <w:szCs w:val="24"/>
      <w:lang w:val="es-UY"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2</Pages>
  <Words>528</Words>
  <Characters>2904</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ADIMRA</Company>
  <LinksUpToDate>false</LinksUpToDate>
  <CharactersWithSpaces>3426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Fernanda</dc:creator>
  <cp:keywords/>
  <dc:description/>
  <cp:lastModifiedBy>Aldo</cp:lastModifiedBy>
  <cp:revision>10</cp:revision>
  <dcterms:created xsi:type="dcterms:W3CDTF">2014-12-19T13:42:00Z</dcterms:created>
  <dcterms:modified xsi:type="dcterms:W3CDTF">2014-12-22T15:34:00Z</dcterms:modified>
</cp:coreProperties>
</file>